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wmf" ContentType="image/x-wmf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76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42"/>
        <w:gridCol w:w="2694"/>
        <w:gridCol w:w="5386"/>
        <w:gridCol w:w="1444"/>
      </w:tblGrid>
      <w:tr>
        <w:trPr/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es-CO" w:eastAsia="es-ES"/>
              </w:rPr>
              <w:t>Docente</w:t>
            </w:r>
            <w:r>
              <w:rPr>
                <w:rFonts w:eastAsia="Times New Roman" w:cs="Arial" w:ascii="Arial" w:hAnsi="Arial"/>
                <w:sz w:val="20"/>
                <w:szCs w:val="20"/>
                <w:lang w:val="es-CO" w:eastAsia="es-ES"/>
              </w:rPr>
              <w:t xml:space="preserve">:  </w:t>
            </w:r>
            <w:r>
              <w:rPr>
                <w:rFonts w:eastAsia="Times New Roman" w:cs="Arial" w:ascii="Arial" w:hAnsi="Arial"/>
                <w:sz w:val="20"/>
                <w:szCs w:val="20"/>
                <w:lang w:val="es-CO" w:eastAsia="es-ES"/>
              </w:rPr>
              <w:t>Oscar Loaiza 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es-CO" w:eastAsia="es-ES"/>
              </w:rPr>
              <w:t xml:space="preserve">Área / Asignatura:  ESTADÍSTICA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es-CO" w:eastAsia="es-ES"/>
              </w:rPr>
              <w:t>Grado</w:t>
            </w:r>
            <w:r>
              <w:rPr>
                <w:rFonts w:eastAsia="Times New Roman" w:cs="Arial" w:ascii="Arial" w:hAnsi="Arial"/>
                <w:sz w:val="20"/>
                <w:szCs w:val="20"/>
                <w:lang w:val="es-CO" w:eastAsia="es-ES"/>
              </w:rPr>
              <w:t xml:space="preserve">: </w:t>
            </w:r>
            <w:r>
              <w:rPr>
                <w:rFonts w:eastAsia="Times New Roman" w:cs="Arial" w:ascii="Arial" w:hAnsi="Arial"/>
                <w:sz w:val="20"/>
                <w:szCs w:val="20"/>
                <w:lang w:val="es-CO" w:eastAsia="es-ES"/>
              </w:rPr>
              <w:t>6</w:t>
            </w:r>
            <w:r>
              <w:rPr>
                <w:rFonts w:eastAsia="Times New Roman" w:cs="Arial" w:ascii="Arial" w:hAnsi="Arial"/>
                <w:sz w:val="20"/>
                <w:szCs w:val="20"/>
                <w:lang w:val="es-CO" w:eastAsia="es-ES"/>
              </w:rPr>
              <w:t>°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es-CO" w:eastAsia="es-ES"/>
              </w:rPr>
              <w:t>Periodo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es-CO" w:eastAsia="es-ES"/>
              </w:rPr>
              <w:t xml:space="preserve">Fecha: </w:t>
            </w:r>
            <w:r>
              <w:rPr>
                <w:rFonts w:eastAsia="Times New Roman" w:cs="Arial" w:ascii="Arial" w:hAnsi="Arial"/>
                <w:sz w:val="20"/>
                <w:szCs w:val="20"/>
                <w:lang w:val="es-CO" w:eastAsia="es-ES"/>
              </w:rPr>
              <w:t>AGOSTO2018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val="es-CO" w:eastAsia="es-ES"/>
              </w:rPr>
              <w:t>Nombre Estudiante:</w:t>
            </w:r>
          </w:p>
        </w:tc>
      </w:tr>
    </w:tbl>
    <w:p>
      <w:pPr>
        <w:pStyle w:val="Normal"/>
        <w:tabs>
          <w:tab w:val="left" w:pos="5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69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90"/>
      </w:tblGrid>
      <w:tr>
        <w:trPr/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EAAAA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Indicadores de Desempeños a superar</w:t>
            </w:r>
          </w:p>
        </w:tc>
      </w:tr>
      <w:tr>
        <w:trPr>
          <w:trHeight w:val="894" w:hRule="atLeast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1"/>
              </w:numPr>
              <w:autoSpaceDE w:val="false"/>
              <w:jc w:val="both"/>
              <w:rPr/>
            </w:pPr>
            <w:r>
              <w:rPr>
                <w:rFonts w:cs="Aleo-Regular"/>
              </w:rPr>
              <w:t>Re</w:t>
            </w:r>
            <w:r>
              <w:rPr>
                <w:rFonts w:cs="Aleo-Regular"/>
              </w:rPr>
              <w:t>presentación de datos estadísticos</w:t>
            </w:r>
          </w:p>
          <w:p>
            <w:pPr>
              <w:pStyle w:val="Normal"/>
              <w:numPr>
                <w:ilvl w:val="0"/>
                <w:numId w:val="11"/>
              </w:numPr>
              <w:autoSpaceDE w:val="false"/>
              <w:jc w:val="both"/>
              <w:rPr/>
            </w:pPr>
            <w:r>
              <w:rPr>
                <w:rFonts w:cs="Aleo-Regular"/>
              </w:rPr>
              <w:t>C</w:t>
            </w:r>
            <w:r>
              <w:rPr>
                <w:rFonts w:cs="Aleo-Regular"/>
              </w:rPr>
              <w:t>lasificación de datos</w:t>
            </w:r>
          </w:p>
          <w:p>
            <w:pPr>
              <w:pStyle w:val="Normal"/>
              <w:autoSpaceDE w:val="false"/>
              <w:jc w:val="both"/>
              <w:rPr>
                <w:rFonts w:cs="Aleo-Regular"/>
              </w:rPr>
            </w:pPr>
            <w:r>
              <w:rPr/>
            </w:r>
          </w:p>
        </w:tc>
      </w:tr>
    </w:tbl>
    <w:p>
      <w:pPr>
        <w:pStyle w:val="Normal"/>
        <w:tabs>
          <w:tab w:val="left" w:pos="5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left" w:pos="5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Con la siguiente información responde la pregunta 1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La siguiente tabla muestra la estatura de cinco niños</w:t>
      </w:r>
    </w:p>
    <w:p>
      <w:pPr>
        <w:pStyle w:val="Normal"/>
        <w:suppressAutoHyphens w:val="true"/>
        <w:jc w:val="center"/>
        <w:rPr>
          <w:rFonts w:eastAsia="Calibri"/>
          <w:spacing w:val="6"/>
          <w:sz w:val="20"/>
          <w:szCs w:val="20"/>
          <w:lang w:eastAsia="ar-SA"/>
        </w:rPr>
      </w:pPr>
      <w:r>
        <w:rPr/>
        <w:drawing>
          <wp:inline distT="0" distB="0" distL="0" distR="0">
            <wp:extent cx="2581275" cy="1152525"/>
            <wp:effectExtent l="0" t="0" r="0" b="0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rPr/>
      </w:pPr>
      <w:r>
        <w:rPr>
          <w:rFonts w:eastAsia="Calibri"/>
          <w:spacing w:val="6"/>
          <w:sz w:val="20"/>
          <w:szCs w:val="20"/>
          <w:lang w:eastAsia="ar-SA"/>
        </w:rPr>
        <w:t>El niño con mayor estatura es</w:t>
      </w:r>
    </w:p>
    <w:p>
      <w:pPr>
        <w:pStyle w:val="Normal"/>
        <w:suppressAutoHyphens w:val="true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Normal"/>
        <w:numPr>
          <w:ilvl w:val="0"/>
          <w:numId w:val="2"/>
        </w:numPr>
        <w:suppressAutoHyphens w:val="true"/>
        <w:jc w:val="both"/>
        <w:rPr/>
      </w:pPr>
      <w:r>
        <w:rPr>
          <w:rFonts w:eastAsia="Calibri"/>
          <w:spacing w:val="6"/>
          <w:sz w:val="20"/>
          <w:szCs w:val="20"/>
          <w:lang w:eastAsia="ar-SA"/>
        </w:rPr>
        <w:t>Sofía</w:t>
      </w:r>
    </w:p>
    <w:p>
      <w:pPr>
        <w:pStyle w:val="Normal"/>
        <w:numPr>
          <w:ilvl w:val="0"/>
          <w:numId w:val="2"/>
        </w:numPr>
        <w:suppressAutoHyphens w:val="true"/>
        <w:jc w:val="both"/>
        <w:rPr/>
      </w:pPr>
      <w:r>
        <w:rPr>
          <w:rFonts w:eastAsia="Calibri"/>
          <w:spacing w:val="6"/>
          <w:sz w:val="20"/>
          <w:szCs w:val="20"/>
          <w:lang w:eastAsia="ar-SA"/>
        </w:rPr>
        <w:t>Jairo</w:t>
      </w:r>
    </w:p>
    <w:p>
      <w:pPr>
        <w:pStyle w:val="Normal"/>
        <w:numPr>
          <w:ilvl w:val="0"/>
          <w:numId w:val="2"/>
        </w:numPr>
        <w:suppressAutoHyphens w:val="true"/>
        <w:jc w:val="both"/>
        <w:rPr/>
      </w:pPr>
      <w:r>
        <w:rPr>
          <w:rFonts w:eastAsia="Calibri"/>
          <w:spacing w:val="6"/>
          <w:sz w:val="20"/>
          <w:szCs w:val="20"/>
          <w:lang w:eastAsia="ar-SA"/>
        </w:rPr>
        <w:t>Silvia</w:t>
      </w:r>
    </w:p>
    <w:p>
      <w:pPr>
        <w:pStyle w:val="Normal"/>
        <w:numPr>
          <w:ilvl w:val="0"/>
          <w:numId w:val="2"/>
        </w:numPr>
        <w:suppressAutoHyphens w:val="true"/>
        <w:jc w:val="both"/>
        <w:rPr/>
      </w:pPr>
      <w:r>
        <w:rPr>
          <w:rFonts w:eastAsia="Calibri"/>
          <w:spacing w:val="6"/>
          <w:sz w:val="20"/>
          <w:szCs w:val="20"/>
          <w:lang w:eastAsia="ar-SA"/>
        </w:rPr>
        <w:t>Mario</w:t>
      </w:r>
    </w:p>
    <w:p>
      <w:pPr>
        <w:pStyle w:val="Normal"/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Normal"/>
        <w:tabs>
          <w:tab w:val="left" w:pos="5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Con la siguiente información responde las preguntas 2 a 7</w:t>
      </w:r>
    </w:p>
    <w:p>
      <w:pPr>
        <w:pStyle w:val="Normal"/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Normal"/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Una encuesta realizada en la terminal de transportes de Ibagué, para conocer a dónde preferirían viajar en vacaciones los colombianos, arrojó los siguientes resultados</w:t>
      </w:r>
    </w:p>
    <w:p>
      <w:pPr>
        <w:pStyle w:val="Normal"/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Normal"/>
        <w:suppressAutoHyphens w:val="true"/>
        <w:jc w:val="center"/>
        <w:rPr>
          <w:rFonts w:eastAsia="Calibri"/>
          <w:spacing w:val="6"/>
          <w:sz w:val="20"/>
          <w:szCs w:val="20"/>
          <w:lang w:eastAsia="ar-SA"/>
        </w:rPr>
      </w:pPr>
      <w:r>
        <w:rPr/>
        <w:drawing>
          <wp:inline distT="0" distB="0" distL="0" distR="0">
            <wp:extent cx="4486275" cy="1383665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La ciudad a la que más mujeres preferirían viajar es</w:t>
      </w:r>
    </w:p>
    <w:p>
      <w:pPr>
        <w:pStyle w:val="Normal"/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Normal"/>
        <w:numPr>
          <w:ilvl w:val="0"/>
          <w:numId w:val="3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Cartagena</w:t>
      </w:r>
    </w:p>
    <w:p>
      <w:pPr>
        <w:pStyle w:val="Normal"/>
        <w:numPr>
          <w:ilvl w:val="0"/>
          <w:numId w:val="3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Medellín</w:t>
      </w:r>
    </w:p>
    <w:p>
      <w:pPr>
        <w:pStyle w:val="Normal"/>
        <w:numPr>
          <w:ilvl w:val="0"/>
          <w:numId w:val="3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 xml:space="preserve">San Andrés </w:t>
      </w:r>
    </w:p>
    <w:p>
      <w:pPr>
        <w:pStyle w:val="Normal"/>
        <w:numPr>
          <w:ilvl w:val="0"/>
          <w:numId w:val="3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Santa Marta</w:t>
      </w:r>
    </w:p>
    <w:p>
      <w:pPr>
        <w:pStyle w:val="Normal"/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La cantidad de personas que fueron encuestadas es</w:t>
      </w:r>
    </w:p>
    <w:p>
      <w:pPr>
        <w:pStyle w:val="Normal"/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Normal"/>
        <w:numPr>
          <w:ilvl w:val="0"/>
          <w:numId w:val="4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2.000</w:t>
      </w:r>
    </w:p>
    <w:p>
      <w:pPr>
        <w:pStyle w:val="Normal"/>
        <w:numPr>
          <w:ilvl w:val="0"/>
          <w:numId w:val="4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1.000</w:t>
      </w:r>
    </w:p>
    <w:p>
      <w:pPr>
        <w:pStyle w:val="Normal"/>
        <w:numPr>
          <w:ilvl w:val="0"/>
          <w:numId w:val="4"/>
        </w:numPr>
        <w:suppressAutoHyphens w:val="true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518</w:t>
      </w:r>
    </w:p>
    <w:p>
      <w:pPr>
        <w:pStyle w:val="Normal"/>
        <w:numPr>
          <w:ilvl w:val="0"/>
          <w:numId w:val="4"/>
        </w:numPr>
        <w:suppressAutoHyphens w:val="true"/>
        <w:jc w:val="both"/>
        <w:rPr>
          <w:rFonts w:eastAsia="Calibri"/>
          <w:spacing w:val="6"/>
          <w:sz w:val="20"/>
          <w:szCs w:val="20"/>
          <w:lang w:val="es-ES"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  <w:t>482</w:t>
      </w:r>
      <w:r>
        <w:rPr>
          <w:rFonts w:eastAsia="Calibri"/>
          <w:spacing w:val="6"/>
          <w:sz w:val="20"/>
          <w:szCs w:val="20"/>
          <w:lang w:val="es-ES" w:eastAsia="ar-SA"/>
        </w:rPr>
        <w:t xml:space="preserve"> </w:t>
      </w:r>
    </w:p>
    <w:p>
      <w:pPr>
        <w:pStyle w:val="Normal"/>
        <w:suppressAutoHyphens w:val="true"/>
        <w:ind w:left="360" w:hanging="0"/>
        <w:jc w:val="both"/>
        <w:rPr>
          <w:rFonts w:eastAsia="Calibri"/>
          <w:spacing w:val="6"/>
          <w:sz w:val="20"/>
          <w:szCs w:val="20"/>
          <w:lang w:eastAsia="ar-SA"/>
        </w:rPr>
      </w:pPr>
      <w:r>
        <w:rPr>
          <w:rFonts w:eastAsia="Calibri"/>
          <w:spacing w:val="6"/>
          <w:sz w:val="20"/>
          <w:szCs w:val="20"/>
          <w:lang w:eastAsia="ar-SA"/>
        </w:rPr>
      </w:r>
    </w:p>
    <w:p>
      <w:pPr>
        <w:pStyle w:val="ListParagraph"/>
        <w:numPr>
          <w:ilvl w:val="0"/>
          <w:numId w:val="1"/>
        </w:numPr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ciudad a la que más hombres preferirían viajar es</w:t>
      </w:r>
    </w:p>
    <w:p>
      <w:pPr>
        <w:pStyle w:val="Normal"/>
        <w:tabs>
          <w:tab w:val="left" w:pos="5375" w:leader="none"/>
        </w:tabs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5"/>
        </w:numPr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Medellín</w:t>
      </w:r>
    </w:p>
    <w:p>
      <w:pPr>
        <w:pStyle w:val="ListParagraph"/>
        <w:numPr>
          <w:ilvl w:val="0"/>
          <w:numId w:val="5"/>
        </w:numPr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Bogotá</w:t>
      </w:r>
    </w:p>
    <w:p>
      <w:pPr>
        <w:pStyle w:val="ListParagraph"/>
        <w:numPr>
          <w:ilvl w:val="0"/>
          <w:numId w:val="5"/>
        </w:numPr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Cali</w:t>
      </w:r>
    </w:p>
    <w:p>
      <w:pPr>
        <w:pStyle w:val="ListParagraph"/>
        <w:numPr>
          <w:ilvl w:val="0"/>
          <w:numId w:val="5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Santa Marta</w:t>
      </w:r>
    </w:p>
    <w:p>
      <w:pPr>
        <w:pStyle w:val="Normal"/>
        <w:tabs>
          <w:tab w:val="left" w:pos="5375" w:leader="none"/>
        </w:tabs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375" w:leader="none"/>
        </w:tabs>
        <w:ind w:left="360" w:hanging="0"/>
        <w:jc w:val="both"/>
        <w:rPr>
          <w:sz w:val="20"/>
          <w:szCs w:val="20"/>
        </w:rPr>
      </w:pPr>
      <w:bookmarkStart w:id="0" w:name="_GoBack"/>
      <w:bookmarkEnd w:id="0"/>
      <w:r>
        <w:rPr/>
        <w:drawing>
          <wp:inline distT="0" distB="0" distL="0" distR="0">
            <wp:extent cx="4600575" cy="2771775"/>
            <wp:effectExtent l="0" t="0" r="0" b="0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En la gráfica se muestran los equipos de fútbol favoritos de un grupo de estudiantes.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El equipo que más le gusta a los estudiantes es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Barcelona</w:t>
      </w:r>
    </w:p>
    <w:p>
      <w:pPr>
        <w:pStyle w:val="ListParagraph"/>
        <w:numPr>
          <w:ilvl w:val="0"/>
          <w:numId w:val="7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Betis</w:t>
      </w:r>
    </w:p>
    <w:p>
      <w:pPr>
        <w:pStyle w:val="ListParagraph"/>
        <w:numPr>
          <w:ilvl w:val="0"/>
          <w:numId w:val="7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Valencia</w:t>
      </w:r>
    </w:p>
    <w:p>
      <w:pPr>
        <w:pStyle w:val="ListParagraph"/>
        <w:numPr>
          <w:ilvl w:val="0"/>
          <w:numId w:val="7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Real Madrid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El número de estudiantes que prefieren el Málaga es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8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5</w:t>
      </w:r>
    </w:p>
    <w:p>
      <w:pPr>
        <w:pStyle w:val="ListParagraph"/>
        <w:numPr>
          <w:ilvl w:val="0"/>
          <w:numId w:val="8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4</w:t>
      </w:r>
    </w:p>
    <w:p>
      <w:pPr>
        <w:pStyle w:val="ListParagraph"/>
        <w:numPr>
          <w:ilvl w:val="0"/>
          <w:numId w:val="8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3</w:t>
      </w:r>
    </w:p>
    <w:p>
      <w:pPr>
        <w:pStyle w:val="ListParagraph"/>
        <w:numPr>
          <w:ilvl w:val="0"/>
          <w:numId w:val="8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1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El número de estudiantes que prefieren el Atlético de Madrid es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3</w:t>
      </w:r>
    </w:p>
    <w:p>
      <w:pPr>
        <w:pStyle w:val="ListParagraph"/>
        <w:numPr>
          <w:ilvl w:val="0"/>
          <w:numId w:val="9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4</w:t>
      </w:r>
    </w:p>
    <w:p>
      <w:pPr>
        <w:pStyle w:val="ListParagraph"/>
        <w:numPr>
          <w:ilvl w:val="0"/>
          <w:numId w:val="9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5</w:t>
      </w:r>
    </w:p>
    <w:p>
      <w:pPr>
        <w:pStyle w:val="ListParagraph"/>
        <w:numPr>
          <w:ilvl w:val="0"/>
          <w:numId w:val="9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6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El número de estudiantes que prefieren el Valencia es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0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1</w:t>
      </w:r>
    </w:p>
    <w:p>
      <w:pPr>
        <w:pStyle w:val="ListParagraph"/>
        <w:numPr>
          <w:ilvl w:val="0"/>
          <w:numId w:val="10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2</w:t>
      </w:r>
    </w:p>
    <w:p>
      <w:pPr>
        <w:pStyle w:val="ListParagraph"/>
        <w:numPr>
          <w:ilvl w:val="0"/>
          <w:numId w:val="10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3</w:t>
      </w:r>
    </w:p>
    <w:p>
      <w:pPr>
        <w:pStyle w:val="ListParagraph"/>
        <w:numPr>
          <w:ilvl w:val="0"/>
          <w:numId w:val="10"/>
        </w:numPr>
        <w:tabs>
          <w:tab w:val="left" w:pos="5375" w:leader="none"/>
        </w:tabs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4</w:t>
      </w:r>
    </w:p>
    <w:p>
      <w:pPr>
        <w:pStyle w:val="ListParagraph"/>
        <w:tabs>
          <w:tab w:val="left" w:pos="5375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left" w:pos="5375" w:leader="none"/>
        </w:tabs>
        <w:spacing w:lineRule="auto" w:line="240" w:before="0" w:after="0"/>
        <w:ind w:left="1440" w:hanging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2240" w:h="18720"/>
      <w:pgMar w:left="851" w:right="1134" w:header="709" w:top="851" w:footer="709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A"/>
      </w:pBdr>
      <w:tabs>
        <w:tab w:val="center" w:pos="4681" w:leader="none"/>
        <w:tab w:val="left" w:pos="8100" w:leader="none"/>
      </w:tabs>
      <w:jc w:val="center"/>
      <w:rPr>
        <w:rFonts w:ascii="Times New Roman" w:hAnsi="Times New Roman" w:cs="Times New Roman"/>
        <w:lang w:eastAsia="es-CO"/>
      </w:rPr>
    </w:pPr>
    <w:r>
      <w:rPr>
        <w:rFonts w:cs="Times New Roman" w:ascii="Times New Roman" w:hAnsi="Times New Roman"/>
        <w:lang w:eastAsia="es-CO"/>
      </w:rPr>
    </w:r>
  </w:p>
  <w:p>
    <w:pPr>
      <w:pStyle w:val="Normal"/>
      <w:tabs>
        <w:tab w:val="center" w:pos="4681" w:leader="none"/>
        <w:tab w:val="left" w:pos="8100" w:leader="none"/>
      </w:tabs>
      <w:jc w:val="center"/>
      <w:rPr>
        <w:rFonts w:ascii="Times New Roman" w:hAnsi="Times New Roman" w:cs="Times New Roman"/>
        <w:lang w:eastAsia="es-CO"/>
      </w:rPr>
    </w:pPr>
    <w:r>
      <w:rPr>
        <w:rFonts w:cs="Times New Roman" w:ascii="Times New Roman" w:hAnsi="Times New Roman"/>
        <w:lang w:eastAsia="es-CO"/>
      </w:rPr>
      <w:t>Corregimiento Santa Elena – Kilómetro 15 – Telefax: 5381304</w:t>
    </w:r>
  </w:p>
  <w:p>
    <w:pPr>
      <w:pStyle w:val="Footer"/>
      <w:jc w:val="center"/>
      <w:rPr/>
    </w:pPr>
    <w:r>
      <w:rPr>
        <w:rFonts w:cs="Times New Roman" w:ascii="Times New Roman" w:hAnsi="Times New Roman"/>
        <w:lang w:val="pt-BR" w:eastAsia="es-CO"/>
      </w:rPr>
      <w:t xml:space="preserve">E-mail: </w:t>
    </w:r>
    <w:hyperlink r:id="rId1">
      <w:r>
        <w:rPr>
          <w:rStyle w:val="InternetLink"/>
          <w:rFonts w:cs="Times New Roman" w:ascii="Times New Roman" w:hAnsi="Times New Roman"/>
          <w:color w:val="0000FF"/>
          <w:u w:val="single"/>
          <w:lang w:val="pt-BR" w:eastAsia="es-CO"/>
        </w:rPr>
        <w:t>ie.santaelena@medellin.gov.co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4"/>
      </w:rPr>
    </w:pPr>
    <w:r>
      <w:rPr>
        <w:sz w:val="4"/>
      </w:rPr>
    </w:r>
  </w:p>
  <w:p>
    <w:pPr>
      <w:pStyle w:val="Header"/>
      <w:rPr/>
    </w:pPr>
    <w:r>
      <w:rPr/>
      <mc:AlternateContent>
        <mc:Choice Requires="wps">
          <w:drawing>
            <wp:anchor behindDoc="1" distT="0" distB="0" distL="89535" distR="89535" simplePos="0" locked="0" layoutInCell="1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-137795</wp:posOffset>
              </wp:positionV>
              <wp:extent cx="6303010" cy="748030"/>
              <wp:effectExtent l="0" t="0" r="0" b="0"/>
              <wp:wrapSquare wrapText="bothSides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2520" cy="74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9923" w:type="dxa"/>
                            <w:jc w:val="center"/>
                            <w:tblInd w:w="0" w:type="dxa"/>
                            <w:tbl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blBorders>
                            <w:tblCellMar>
                              <w:top w:w="0" w:type="dxa"/>
                              <w:left w:w="50" w:type="dxa"/>
                              <w:bottom w:w="0" w:type="dxa"/>
                              <w:right w:w="70" w:type="dxa"/>
                            </w:tblCellMar>
                            <w:tblLook w:val="0000" w:noVBand="0" w:noHBand="0" w:lastColumn="0" w:firstColumn="0" w:lastRow="0" w:firstRow="0"/>
                          </w:tblPr>
                          <w:tblGrid>
                            <w:gridCol w:w="1488"/>
                            <w:gridCol w:w="6804"/>
                            <w:gridCol w:w="1631"/>
                          </w:tblGrid>
                          <w:tr>
                            <w:trPr>
                              <w:trHeight w:val="420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restart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1" w:name="__UnoMark__139_179590529"/>
                                <w:bookmarkStart w:id="2" w:name="__UnoMark__139_179590529"/>
                                <w:bookmarkEnd w:id="2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3" w:name="__UnoMark__141_179590529"/>
                                <w:bookmarkStart w:id="4" w:name="__UnoMark__140_179590529"/>
                                <w:bookmarkEnd w:id="3"/>
                                <w:bookmarkEnd w:id="4"/>
                                <w:r>
                                  <w:rPr>
                                    <w:bCs/>
                                    <w:color w:val="00000A"/>
                                    <w:sz w:val="28"/>
                                    <w:szCs w:val="20"/>
                                  </w:rPr>
                                  <w:t>INSTITUCION EDUCATIVA SANTA ELENA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restart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</w:tcPr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bCs/>
                                    <w:color w:val="00000A"/>
                                    <w:sz w:val="4"/>
                                    <w:szCs w:val="18"/>
                                  </w:rPr>
                                </w:pPr>
                                <w:bookmarkStart w:id="5" w:name="__UnoMark__142_179590529"/>
                                <w:bookmarkStart w:id="6" w:name="__UnoMark__142_179590529"/>
                                <w:bookmarkEnd w:id="6"/>
                                <w:r>
                                  <w:rPr>
                                    <w:bCs/>
                                    <w:color w:val="00000A"/>
                                    <w:sz w:val="4"/>
                                    <w:szCs w:val="18"/>
                                  </w:rPr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Código: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Versión: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Hoja: 1 de  1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360"/>
                                  <w:rPr>
                                    <w:color w:val="00000A"/>
                                  </w:rPr>
                                </w:pPr>
                                <w:bookmarkStart w:id="7" w:name="__UnoMark__143_179590529"/>
                                <w:bookmarkEnd w:id="7"/>
                                <w:r>
                                  <w:rPr>
                                    <w:bCs/>
                                    <w:color w:val="00000A"/>
                                    <w:sz w:val="10"/>
                                    <w:szCs w:val="16"/>
                                  </w:rPr>
                                  <w:t>Fecha elaboración: 31/01/2015</w:t>
                                </w:r>
                              </w:p>
                            </w:tc>
                          </w:tr>
                          <w:tr>
                            <w:trPr>
                              <w:trHeight w:val="325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  <w:lang w:eastAsia="es-CO"/>
                                  </w:rPr>
                                </w:pPr>
                                <w:bookmarkStart w:id="8" w:name="__UnoMark__144_179590529"/>
                                <w:bookmarkStart w:id="9" w:name="__UnoMark__145_179590529"/>
                                <w:bookmarkStart w:id="10" w:name="__UnoMark__144_179590529"/>
                                <w:bookmarkStart w:id="11" w:name="__UnoMark__145_179590529"/>
                                <w:bookmarkEnd w:id="10"/>
                                <w:bookmarkEnd w:id="11"/>
                                <w:r>
                                  <w:rPr>
                                    <w:color w:val="00000A"/>
                                    <w:lang w:eastAsia="es-CO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12" w:name="__UnoMark__147_179590529"/>
                                <w:bookmarkStart w:id="13" w:name="__UnoMark__146_179590529"/>
                                <w:bookmarkEnd w:id="12"/>
                                <w:bookmarkEnd w:id="13"/>
                                <w:r>
                                  <w:rPr>
                                    <w:bCs/>
                                    <w:color w:val="00000A"/>
                                    <w:sz w:val="20"/>
                                    <w:szCs w:val="20"/>
                                  </w:rPr>
                                  <w:t>NIT: 811.017.836-7 DANE: 205001011031 Núcleo: 925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</w:tcPr>
                              <w:p>
                                <w:pPr>
                                  <w:pStyle w:val="Normal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14" w:name="__UnoMark__148_179590529"/>
                                <w:bookmarkStart w:id="15" w:name="__UnoMark__149_179590529"/>
                                <w:bookmarkStart w:id="16" w:name="__UnoMark__148_179590529"/>
                                <w:bookmarkStart w:id="17" w:name="__UnoMark__149_179590529"/>
                                <w:bookmarkEnd w:id="16"/>
                                <w:bookmarkEnd w:id="17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70" w:hRule="atLeast"/>
                              <w:cantSplit w:val="true"/>
                            </w:trPr>
                            <w:tc>
                              <w:tcPr>
                                <w:tcW w:w="1488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  <w:lang w:eastAsia="es-CO"/>
                                  </w:rPr>
                                </w:pPr>
                                <w:bookmarkStart w:id="18" w:name="__UnoMark__150_179590529"/>
                                <w:bookmarkStart w:id="19" w:name="__UnoMark__151_179590529"/>
                                <w:bookmarkStart w:id="20" w:name="__UnoMark__150_179590529"/>
                                <w:bookmarkStart w:id="21" w:name="__UnoMark__151_179590529"/>
                                <w:bookmarkEnd w:id="20"/>
                                <w:bookmarkEnd w:id="21"/>
                                <w:r>
                                  <w:rPr>
                                    <w:color w:val="00000A"/>
                                    <w:lang w:eastAsia="es-CO"/>
                                  </w:rPr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22" w:name="__UnoMark__152_179590529"/>
                                <w:bookmarkEnd w:id="22"/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Aprobado por Resoluciones  Nº 16268/2002  y N° 0715/2004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color w:val="00000A"/>
                                  </w:rPr>
                                </w:pPr>
                                <w:bookmarkStart w:id="23" w:name="__UnoMark__153_179590529"/>
                                <w:bookmarkEnd w:id="23"/>
                                <w:r>
                                  <w:rPr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  <w:t>Niveles de Preescolar, Primaria, Secundaria, Media académica y Técnica</w:t>
                                </w:r>
                              </w:p>
                            </w:tc>
                            <w:tc>
                              <w:tcPr>
                                <w:tcW w:w="1631" w:type="dxa"/>
                                <w:vMerge w:val="continue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50" w:type="dxa"/>
                                </w:tcMar>
                              </w:tcPr>
                              <w:p>
                                <w:pPr>
                                  <w:pStyle w:val="Normal"/>
                                  <w:rPr>
                                    <w:b/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pPr>
                                <w:bookmarkStart w:id="24" w:name="__UnoMark__154_179590529"/>
                                <w:bookmarkStart w:id="25" w:name="__UnoMark__154_179590529"/>
                                <w:bookmarkEnd w:id="25"/>
                                <w:r>
                                  <w:rPr>
                                    <w:b/>
                                    <w:bCs/>
                                    <w:color w:val="00000A"/>
                                    <w:sz w:val="18"/>
                                    <w:szCs w:val="18"/>
                                  </w:rPr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8.2pt;margin-top:-10.85pt;width:496.2pt;height:58.8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9923" w:type="dxa"/>
                      <w:jc w:val="center"/>
                      <w:tblInd w:w="0" w:type="dxa"/>
                      <w:tbl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  <w:insideH w:val="single" w:sz="4" w:space="0" w:color="00000A"/>
                        <w:insideV w:val="single" w:sz="4" w:space="0" w:color="00000A"/>
                      </w:tblBorders>
                      <w:tblCellMar>
                        <w:top w:w="0" w:type="dxa"/>
                        <w:left w:w="50" w:type="dxa"/>
                        <w:bottom w:w="0" w:type="dxa"/>
                        <w:right w:w="70" w:type="dxa"/>
                      </w:tblCellMar>
                      <w:tblLook w:val="0000" w:noVBand="0" w:noHBand="0" w:lastColumn="0" w:firstColumn="0" w:lastRow="0" w:firstRow="0"/>
                    </w:tblPr>
                    <w:tblGrid>
                      <w:gridCol w:w="1488"/>
                      <w:gridCol w:w="6804"/>
                      <w:gridCol w:w="1631"/>
                    </w:tblGrid>
                    <w:tr>
                      <w:trPr>
                        <w:trHeight w:val="420" w:hRule="atLeast"/>
                        <w:cantSplit w:val="true"/>
                      </w:trPr>
                      <w:tc>
                        <w:tcPr>
                          <w:tcW w:w="1488" w:type="dxa"/>
                          <w:vMerge w:val="restart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26" w:name="__UnoMark__139_179590529"/>
                          <w:bookmarkStart w:id="27" w:name="__UnoMark__139_179590529"/>
                          <w:bookmarkEnd w:id="27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28" w:name="__UnoMark__141_179590529"/>
                          <w:bookmarkStart w:id="29" w:name="__UnoMark__140_179590529"/>
                          <w:bookmarkEnd w:id="28"/>
                          <w:bookmarkEnd w:id="29"/>
                          <w:r>
                            <w:rPr>
                              <w:bCs/>
                              <w:color w:val="00000A"/>
                              <w:sz w:val="28"/>
                              <w:szCs w:val="20"/>
                            </w:rPr>
                            <w:t>INSTITUCION EDUCATIVA SANTA ELENA</w:t>
                          </w:r>
                        </w:p>
                      </w:tc>
                      <w:tc>
                        <w:tcPr>
                          <w:tcW w:w="1631" w:type="dxa"/>
                          <w:vMerge w:val="restart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</w:tcPr>
                        <w:p>
                          <w:pPr>
                            <w:pStyle w:val="Normal"/>
                            <w:spacing w:lineRule="auto" w:line="360"/>
                            <w:rPr>
                              <w:bCs/>
                              <w:color w:val="00000A"/>
                              <w:sz w:val="4"/>
                              <w:szCs w:val="18"/>
                            </w:rPr>
                          </w:pPr>
                          <w:bookmarkStart w:id="30" w:name="__UnoMark__142_179590529"/>
                          <w:bookmarkStart w:id="31" w:name="__UnoMark__142_179590529"/>
                          <w:bookmarkEnd w:id="31"/>
                          <w:r>
                            <w:rPr>
                              <w:bCs/>
                              <w:color w:val="00000A"/>
                              <w:sz w:val="4"/>
                              <w:szCs w:val="18"/>
                            </w:rPr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Código: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Hoja: 1 de  1</w:t>
                          </w:r>
                        </w:p>
                        <w:p>
                          <w:pPr>
                            <w:pStyle w:val="Normal"/>
                            <w:spacing w:lineRule="auto" w:line="360"/>
                            <w:rPr>
                              <w:color w:val="00000A"/>
                            </w:rPr>
                          </w:pPr>
                          <w:bookmarkStart w:id="32" w:name="__UnoMark__143_179590529"/>
                          <w:bookmarkEnd w:id="32"/>
                          <w:r>
                            <w:rPr>
                              <w:bCs/>
                              <w:color w:val="00000A"/>
                              <w:sz w:val="10"/>
                              <w:szCs w:val="16"/>
                            </w:rPr>
                            <w:t>Fecha elaboración: 31/01/2015</w:t>
                          </w:r>
                        </w:p>
                      </w:tc>
                    </w:tr>
                    <w:tr>
                      <w:trPr>
                        <w:trHeight w:val="325" w:hRule="atLeast"/>
                        <w:cantSplit w:val="true"/>
                      </w:trPr>
                      <w:tc>
                        <w:tcPr>
                          <w:tcW w:w="1488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  <w:lang w:eastAsia="es-CO"/>
                            </w:rPr>
                          </w:pPr>
                          <w:bookmarkStart w:id="33" w:name="__UnoMark__144_179590529"/>
                          <w:bookmarkStart w:id="34" w:name="__UnoMark__145_179590529"/>
                          <w:bookmarkStart w:id="35" w:name="__UnoMark__144_179590529"/>
                          <w:bookmarkStart w:id="36" w:name="__UnoMark__145_179590529"/>
                          <w:bookmarkEnd w:id="35"/>
                          <w:bookmarkEnd w:id="36"/>
                          <w:r>
                            <w:rPr>
                              <w:color w:val="00000A"/>
                              <w:lang w:eastAsia="es-CO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37" w:name="__UnoMark__147_179590529"/>
                          <w:bookmarkStart w:id="38" w:name="__UnoMark__146_179590529"/>
                          <w:bookmarkEnd w:id="37"/>
                          <w:bookmarkEnd w:id="38"/>
                          <w:r>
                            <w:rPr>
                              <w:bCs/>
                              <w:color w:val="00000A"/>
                              <w:sz w:val="20"/>
                              <w:szCs w:val="20"/>
                            </w:rPr>
                            <w:t>NIT: 811.017.836-7 DANE: 205001011031 Núcleo: 925</w:t>
                          </w:r>
                        </w:p>
                      </w:tc>
                      <w:tc>
                        <w:tcPr>
                          <w:tcW w:w="1631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</w:tcPr>
                        <w:p>
                          <w:pPr>
                            <w:pStyle w:val="Normal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39" w:name="__UnoMark__148_179590529"/>
                          <w:bookmarkStart w:id="40" w:name="__UnoMark__149_179590529"/>
                          <w:bookmarkStart w:id="41" w:name="__UnoMark__148_179590529"/>
                          <w:bookmarkStart w:id="42" w:name="__UnoMark__149_179590529"/>
                          <w:bookmarkEnd w:id="41"/>
                          <w:bookmarkEnd w:id="42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</w:tr>
                    <w:tr>
                      <w:trPr>
                        <w:trHeight w:val="70" w:hRule="atLeast"/>
                        <w:cantSplit w:val="true"/>
                      </w:trPr>
                      <w:tc>
                        <w:tcPr>
                          <w:tcW w:w="1488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  <w:lang w:eastAsia="es-CO"/>
                            </w:rPr>
                          </w:pPr>
                          <w:bookmarkStart w:id="43" w:name="__UnoMark__150_179590529"/>
                          <w:bookmarkStart w:id="44" w:name="__UnoMark__151_179590529"/>
                          <w:bookmarkStart w:id="45" w:name="__UnoMark__150_179590529"/>
                          <w:bookmarkStart w:id="46" w:name="__UnoMark__151_179590529"/>
                          <w:bookmarkEnd w:id="45"/>
                          <w:bookmarkEnd w:id="46"/>
                          <w:r>
                            <w:rPr>
                              <w:color w:val="00000A"/>
                              <w:lang w:eastAsia="es-CO"/>
                            </w:rPr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47" w:name="__UnoMark__152_179590529"/>
                          <w:bookmarkEnd w:id="47"/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Aprobado por Resoluciones  Nº 16268/2002  y N° 0715/2004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color w:val="00000A"/>
                            </w:rPr>
                          </w:pPr>
                          <w:bookmarkStart w:id="48" w:name="__UnoMark__153_179590529"/>
                          <w:bookmarkEnd w:id="48"/>
                          <w:r>
                            <w:rPr>
                              <w:bCs/>
                              <w:color w:val="00000A"/>
                              <w:sz w:val="18"/>
                              <w:szCs w:val="18"/>
                            </w:rPr>
                            <w:t>Niveles de Preescolar, Primaria, Secundaria, Media académica y Técnica</w:t>
                          </w:r>
                        </w:p>
                      </w:tc>
                      <w:tc>
                        <w:tcPr>
                          <w:tcW w:w="1631" w:type="dxa"/>
                          <w:vMerge w:val="continue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50" w:type="dxa"/>
                          </w:tcMar>
                        </w:tcPr>
                        <w:p>
                          <w:pPr>
                            <w:pStyle w:val="Normal"/>
                            <w:rPr>
                              <w:b/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pPr>
                          <w:bookmarkStart w:id="49" w:name="__UnoMark__154_179590529"/>
                          <w:bookmarkStart w:id="50" w:name="__UnoMark__154_179590529"/>
                          <w:bookmarkEnd w:id="50"/>
                          <w:r>
                            <w:rPr>
                              <w:b/>
                              <w:bCs/>
                              <w:color w:val="00000A"/>
                              <w:sz w:val="18"/>
                              <w:szCs w:val="18"/>
                            </w:rPr>
                          </w:r>
                        </w:p>
                      </w:tc>
                    </w:tr>
                  </w:tbl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-40005</wp:posOffset>
          </wp:positionV>
          <wp:extent cx="831215" cy="831215"/>
          <wp:effectExtent l="0" t="0" r="0" b="0"/>
          <wp:wrapNone/>
          <wp:docPr id="6" name="Imagen 1" descr="C:\Users\user\Dropbox\ARCHIVOS SANTA ELENA- 2015\INSTITUCIONAL\Escudo 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C:\Users\user\Dropbox\ARCHIVOS SANTA ELENA- 2015\INSTITUCIONAL\Escudo institucio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228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4"/>
      <w:szCs w:val="24"/>
      <w:lang w:val="es-CO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0f1cad"/>
    <w:rPr>
      <w:rFonts w:ascii="Arial" w:hAnsi="Arial" w:eastAsia="Times New Roman" w:cs="Arial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f1cad"/>
    <w:rPr>
      <w:vertAlign w:val="superscript"/>
    </w:rPr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0f1cad"/>
    <w:rPr>
      <w:rFonts w:ascii="Arial" w:hAnsi="Arial" w:eastAsia="Times New Roman" w:cs="Arial"/>
      <w:sz w:val="20"/>
      <w:szCs w:val="20"/>
      <w:lang w:eastAsia="es-ES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0f1cad"/>
    <w:rPr>
      <w:vertAlign w:val="superscript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f1cad"/>
    <w:rPr>
      <w:rFonts w:ascii="Arial" w:hAnsi="Arial" w:eastAsia="Times New Roman" w:cs="Arial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f1cad"/>
    <w:rPr>
      <w:rFonts w:ascii="Arial" w:hAnsi="Arial" w:eastAsia="Times New Roman" w:cs="Arial"/>
      <w:sz w:val="24"/>
      <w:szCs w:val="24"/>
      <w:lang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f1cad"/>
    <w:rPr>
      <w:rFonts w:ascii="Tahoma" w:hAnsi="Tahoma" w:eastAsia="Times New Roman" w:cs="Tahoma"/>
      <w:sz w:val="16"/>
      <w:szCs w:val="16"/>
      <w:lang w:eastAsia="es-ES"/>
    </w:rPr>
  </w:style>
  <w:style w:type="character" w:styleId="InternetLink">
    <w:name w:val="Internet Link"/>
    <w:semiHidden/>
    <w:unhideWhenUsed/>
    <w:rsid w:val="000f1cad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TextonotapieCar"/>
    <w:uiPriority w:val="99"/>
    <w:semiHidden/>
    <w:unhideWhenUsed/>
    <w:qFormat/>
    <w:rsid w:val="000f1cad"/>
    <w:pPr/>
    <w:rPr>
      <w:sz w:val="20"/>
      <w:szCs w:val="20"/>
    </w:rPr>
  </w:style>
  <w:style w:type="paragraph" w:styleId="Endnotetext">
    <w:name w:val="endnote text"/>
    <w:basedOn w:val="Normal"/>
    <w:link w:val="TextonotaalfinalCar"/>
    <w:uiPriority w:val="99"/>
    <w:semiHidden/>
    <w:unhideWhenUsed/>
    <w:qFormat/>
    <w:rsid w:val="000f1cad"/>
    <w:pPr/>
    <w:rPr>
      <w:sz w:val="20"/>
      <w:szCs w:val="20"/>
    </w:rPr>
  </w:style>
  <w:style w:type="paragraph" w:styleId="Header">
    <w:name w:val="Header"/>
    <w:basedOn w:val="Normal"/>
    <w:link w:val="EncabezadoCar"/>
    <w:uiPriority w:val="99"/>
    <w:unhideWhenUsed/>
    <w:rsid w:val="000f1cad"/>
    <w:pPr>
      <w:tabs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0f1cad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f1c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8a3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f5c2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e.santaelena@medellin.gov.co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25C3-8D30-4EC8-8912-4882542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LibreOffice/5.1.6.2$Linux_X86_64 LibreOffice_project/10m0$Build-2</Application>
  <Pages>2</Pages>
  <Words>290</Words>
  <Characters>1412</Characters>
  <CharactersWithSpaces>1606</CharactersWithSpaces>
  <Paragraphs>67</Paragraphs>
  <Company>SECRETAIRA DE EDUCACION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2016-03-04T03:49:00Z</dcterms:created>
  <dc:creator>Yudy</dc:creator>
  <dc:description/>
  <dc:language>en-US</dc:language>
  <cp:lastModifiedBy/>
  <cp:lastPrinted>2014-08-23T07:49:00Z</cp:lastPrinted>
  <dcterms:modified xsi:type="dcterms:W3CDTF">2018-08-16T20:58:44Z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SECRETAIRA DE EDUCACION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