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766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242"/>
        <w:gridCol w:w="2694"/>
        <w:gridCol w:w="5386"/>
        <w:gridCol w:w="1444"/>
      </w:tblGrid>
      <w:tr>
        <w:trPr/>
        <w:tc>
          <w:tcPr>
            <w:tcW w:w="39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Docente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:  Oscar Loaiza S.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 xml:space="preserve">Área / Asignatura:  </w:t>
            </w: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MAtematicas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Grado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 xml:space="preserve">: 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8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°</w:t>
            </w:r>
          </w:p>
        </w:tc>
      </w:tr>
      <w:tr>
        <w:trPr/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Periodo 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 xml:space="preserve">Fecha: </w:t>
            </w:r>
            <w:r>
              <w:rPr>
                <w:rFonts w:eastAsia="Times New Roman" w:cs="Arial"/>
                <w:sz w:val="20"/>
                <w:szCs w:val="20"/>
                <w:lang w:val="es-CO" w:eastAsia="es-ES"/>
              </w:rPr>
              <w:t>AGOSTO2018</w:t>
            </w:r>
          </w:p>
        </w:tc>
        <w:tc>
          <w:tcPr>
            <w:tcW w:w="6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b/>
                <w:sz w:val="20"/>
                <w:szCs w:val="20"/>
                <w:lang w:val="es-CO" w:eastAsia="es-ES"/>
              </w:rPr>
              <w:t>Nombre Estudiante:</w:t>
            </w:r>
          </w:p>
        </w:tc>
      </w:tr>
    </w:tbl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left" w:pos="5375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0690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0690"/>
      </w:tblGrid>
      <w:tr>
        <w:trPr/>
        <w:tc>
          <w:tcPr>
            <w:tcW w:w="10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EAAAA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sz w:val="20"/>
                <w:szCs w:val="20"/>
              </w:rPr>
              <w:t>Indicadores de Desempeños a super</w:t>
            </w:r>
          </w:p>
        </w:tc>
      </w:tr>
      <w:tr>
        <w:trPr>
          <w:trHeight w:val="894" w:hRule="atLeast"/>
        </w:trPr>
        <w:tc>
          <w:tcPr>
            <w:tcW w:w="10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cs="Aleo-Regular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6"/>
              </w:numPr>
              <w:jc w:val="both"/>
              <w:rPr>
                <w:rFonts w:cs="Aleo-Regular"/>
              </w:rPr>
            </w:pPr>
            <w:r>
              <w:rPr>
                <w:rFonts w:cs="Aleo-Regular"/>
              </w:rPr>
              <w:t>Realiza operaciones básicas con números reales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2240" w:h="18720"/>
          <w:pgMar w:left="851" w:right="1134" w:header="709" w:top="851" w:footer="709" w:bottom="1418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Web"/>
        <w:numPr>
          <w:ilvl w:val="0"/>
          <w:numId w:val="1"/>
        </w:numPr>
        <w:rPr/>
      </w:pPr>
      <w:r>
        <w:rPr/>
        <w:t xml:space="preserve">Resuelve: </w:t>
      </w:r>
    </w:p>
    <w:p>
      <w:pPr>
        <w:pStyle w:val="A"/>
        <w:numPr>
          <w:ilvl w:val="0"/>
          <w:numId w:val="2"/>
        </w:numPr>
        <w:rPr/>
      </w:pPr>
      <w:r>
        <w:rPr/>
        <mc:AlternateContent>
          <mc:Choice Requires="wps">
            <w:drawing>
              <wp:inline distT="0" distB="0" distL="0" distR="0">
                <wp:extent cx="1391285" cy="457835"/>
                <wp:effectExtent l="0" t="0" r="0" b="0"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3906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6.05pt;width:109.45pt;height:35.9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A"/>
        <w:numPr>
          <w:ilvl w:val="0"/>
          <w:numId w:val="2"/>
        </w:numPr>
        <w:rPr/>
      </w:pPr>
      <w:r>
        <w:rPr/>
        <mc:AlternateContent>
          <mc:Choice Requires="wps">
            <w:drawing>
              <wp:inline distT="0" distB="0" distL="0" distR="0">
                <wp:extent cx="1343660" cy="457835"/>
                <wp:effectExtent l="0" t="0" r="0" b="0"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34316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6.05pt;width:105.7pt;height:35.95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A"/>
        <w:numPr>
          <w:ilvl w:val="0"/>
          <w:numId w:val="2"/>
        </w:numPr>
        <w:rPr/>
      </w:pPr>
      <w:r>
        <w:rPr/>
        <mc:AlternateContent>
          <mc:Choice Requires="wps">
            <w:drawing>
              <wp:inline distT="0" distB="0" distL="0" distR="0">
                <wp:extent cx="1448435" cy="457835"/>
                <wp:effectExtent l="0" t="0" r="0" b="0"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44792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6.05pt;width:113.95pt;height:35.95pt;mso-position-vertical:top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numPr>
          <w:ilvl w:val="0"/>
          <w:numId w:val="1"/>
        </w:numPr>
        <w:rPr/>
      </w:pPr>
      <w:r>
        <w:rPr/>
        <w:t>Efectúa las divisiones:</w:t>
      </w:r>
    </w:p>
    <w:p>
      <w:pPr>
        <w:pStyle w:val="A"/>
        <w:numPr>
          <w:ilvl w:val="0"/>
          <w:numId w:val="3"/>
        </w:numPr>
        <w:rPr/>
      </w:pPr>
      <w:r>
        <w:rPr/>
        <w:t xml:space="preserve"> </w:t>
      </w:r>
      <w:r>
        <w:rPr/>
        <mc:AlternateContent>
          <mc:Choice Requires="wps">
            <w:drawing>
              <wp:inline distT="0" distB="0" distL="0" distR="0">
                <wp:extent cx="324485" cy="572135"/>
                <wp:effectExtent l="0" t="0" r="0" b="0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324000" cy="57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5.05pt;width:25.45pt;height:44.95pt;mso-position-vertical:top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A"/>
        <w:numPr>
          <w:ilvl w:val="0"/>
          <w:numId w:val="3"/>
        </w:numPr>
        <w:rPr/>
      </w:pPr>
      <w:r>
        <w:rPr/>
        <w:t xml:space="preserve"> </w:t>
      </w:r>
      <w:r>
        <w:rPr/>
        <mc:AlternateContent>
          <mc:Choice Requires="wps">
            <w:drawing>
              <wp:inline distT="0" distB="0" distL="0" distR="0">
                <wp:extent cx="495935" cy="591185"/>
                <wp:effectExtent l="0" t="0" r="0" b="0"/>
                <wp:docPr id="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95360" cy="59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46.55pt;width:38.95pt;height:46.45pt;mso-position-vertical:top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numPr>
          <w:ilvl w:val="0"/>
          <w:numId w:val="1"/>
        </w:numPr>
        <w:rPr/>
      </w:pPr>
      <w:r>
        <w:rPr>
          <w:rStyle w:val="Actividadesv"/>
        </w:rPr>
        <w:t>Opera:</w:t>
      </w:r>
    </w:p>
    <w:p>
      <w:pPr>
        <w:pStyle w:val="A"/>
        <w:numPr>
          <w:ilvl w:val="0"/>
          <w:numId w:val="4"/>
        </w:numPr>
        <w:rPr/>
      </w:pPr>
      <w:r>
        <w:rPr/>
        <mc:AlternateContent>
          <mc:Choice Requires="wps">
            <w:drawing>
              <wp:inline distT="0" distB="0" distL="0" distR="0">
                <wp:extent cx="629285" cy="762635"/>
                <wp:effectExtent l="0" t="0" r="0" b="0"/>
                <wp:docPr id="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descr="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628560" cy="76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0.05pt;width:49.45pt;height:59.95pt;mso-position-vertical:top">
                <v:imagedata r:id="rId9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A"/>
        <w:numPr>
          <w:ilvl w:val="0"/>
          <w:numId w:val="4"/>
        </w:numPr>
        <w:rPr/>
      </w:pPr>
      <w:r>
        <w:rPr/>
        <mc:AlternateContent>
          <mc:Choice Requires="wps">
            <w:drawing>
              <wp:inline distT="0" distB="0" distL="0" distR="0">
                <wp:extent cx="972185" cy="781685"/>
                <wp:effectExtent l="0" t="0" r="0" b="0"/>
                <wp:docPr id="1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descr="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971640" cy="781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1.55pt;width:76.45pt;height:61.45pt;mso-position-vertical:top">
                <v:imagedata r:id="rId10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numPr>
          <w:ilvl w:val="0"/>
          <w:numId w:val="1"/>
        </w:numPr>
        <w:rPr/>
      </w:pPr>
      <w:r>
        <w:rPr>
          <w:rStyle w:val="A1"/>
        </w:rPr>
        <w:t xml:space="preserve">Efectúa </w:t>
      </w:r>
    </w:p>
    <w:p>
      <w:pPr>
        <w:pStyle w:val="A"/>
        <w:rPr/>
      </w:pPr>
      <w:r>
        <w:rPr/>
        <mc:AlternateContent>
          <mc:Choice Requires="wps">
            <w:drawing>
              <wp:inline distT="0" distB="0" distL="0" distR="0">
                <wp:extent cx="1105535" cy="810260"/>
                <wp:effectExtent l="0" t="0" r="0" b="0"/>
                <wp:docPr id="1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descr="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104840" cy="809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63.8pt;width:86.95pt;height:63.7pt;mso-position-vertical:top">
                <v:imagedata r:id="rId11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numPr>
          <w:ilvl w:val="0"/>
          <w:numId w:val="1"/>
        </w:numPr>
        <w:rPr/>
      </w:pPr>
      <w:r>
        <w:rPr/>
        <w:t xml:space="preserve">Realiza las siguientes operaciones con potencias: </w:t>
      </w:r>
    </w:p>
    <w:p>
      <w:pPr>
        <w:pStyle w:val="A"/>
        <w:numPr>
          <w:ilvl w:val="0"/>
          <w:numId w:val="5"/>
        </w:numPr>
        <w:rPr/>
      </w:pPr>
      <w:r>
        <w:rPr/>
        <mc:AlternateContent>
          <mc:Choice Requires="wps">
            <w:drawing>
              <wp:inline distT="0" distB="0" distL="0" distR="0">
                <wp:extent cx="972185" cy="495935"/>
                <wp:effectExtent l="0" t="0" r="0" b="0"/>
                <wp:docPr id="1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descr="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>
                          <a:off x="0" y="0"/>
                          <a:ext cx="97164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9.05pt;width:76.45pt;height:38.95pt;mso-position-vertical:top">
                <v:imagedata r:id="rId12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A"/>
        <w:numPr>
          <w:ilvl w:val="0"/>
          <w:numId w:val="5"/>
        </w:numPr>
        <w:rPr/>
      </w:pPr>
      <w:r>
        <w:rPr/>
        <mc:AlternateContent>
          <mc:Choice Requires="wps">
            <w:drawing>
              <wp:inline distT="0" distB="0" distL="0" distR="0">
                <wp:extent cx="1038860" cy="495935"/>
                <wp:effectExtent l="0" t="0" r="0" b="0"/>
                <wp:docPr id="1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" descr="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103824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9.05pt;width:81.7pt;height:38.95pt;mso-position-vertical:top">
                <v:imagedata r:id="rId1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Web"/>
        <w:numPr>
          <w:ilvl w:val="0"/>
          <w:numId w:val="1"/>
        </w:numPr>
        <w:rPr/>
      </w:pPr>
      <w:r>
        <w:rPr/>
        <w:t xml:space="preserve">Opera: </w:t>
      </w:r>
    </w:p>
    <w:p>
      <w:pPr>
        <w:pStyle w:val="A"/>
        <w:rPr/>
      </w:pPr>
      <w:r>
        <w:rPr/>
        <mc:AlternateContent>
          <mc:Choice Requires="wps">
            <w:drawing>
              <wp:inline distT="0" distB="0" distL="0" distR="0">
                <wp:extent cx="838835" cy="400685"/>
                <wp:effectExtent l="0" t="0" r="0" b="0"/>
                <wp:docPr id="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" descr="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838080" cy="399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-31.55pt;width:65.95pt;height:31.45pt;mso-position-vertical:top">
                <v:imagedata r:id="rId1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A"/>
        <w:rPr/>
      </w:pPr>
      <w:r>
        <w:rPr/>
      </w:r>
    </w:p>
    <w:p>
      <w:pPr>
        <w:pStyle w:val="A"/>
        <w:rPr/>
      </w:pPr>
      <w:r>
        <w:rPr>
          <w:b/>
        </w:rPr>
        <w:t>NOTA: Adjuntar TODOS LOS CÁLCULOS realizados en los ejercicios.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15"/>
          <w:footerReference w:type="default" r:id="rId16"/>
          <w:type w:val="nextPage"/>
          <w:pgSz w:w="12240" w:h="15840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ListParagraph"/>
        <w:numPr>
          <w:ilvl w:val="0"/>
          <w:numId w:val="0"/>
        </w:numPr>
        <w:tabs>
          <w:tab w:val="left" w:pos="5375" w:leader="none"/>
        </w:tabs>
        <w:spacing w:lineRule="auto" w:line="240" w:before="0" w:after="0"/>
        <w:ind w:left="1440" w:hanging="0"/>
        <w:jc w:val="both"/>
        <w:rPr/>
      </w:pPr>
      <w:r>
        <w:rPr/>
      </w:r>
    </w:p>
    <w:p>
      <w:pPr>
        <w:sectPr>
          <w:type w:val="continuous"/>
          <w:pgSz w:w="12240" w:h="15840"/>
          <w:pgMar w:left="1701" w:right="1701" w:header="0" w:top="1417" w:footer="0" w:bottom="1417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</w:r>
  </w:p>
  <w:p>
    <w:pPr>
      <w:pStyle w:val="Normal"/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  <w:t>Corregimiento Santa Elena – Kilómetro 15 – Telefax: 5381304</w:t>
    </w:r>
  </w:p>
  <w:p>
    <w:pPr>
      <w:pStyle w:val="Footer"/>
      <w:jc w:val="center"/>
      <w:rPr/>
    </w:pPr>
    <w:r>
      <w:rPr>
        <w:rFonts w:cs="Times New Roman" w:ascii="Times New Roman" w:hAnsi="Times New Roman"/>
        <w:lang w:val="pt-BR" w:eastAsia="es-CO"/>
      </w:rPr>
      <w:t xml:space="preserve">E-mail: </w:t>
    </w:r>
    <w:hyperlink r:id="rId1">
      <w:r>
        <w:rPr>
          <w:rStyle w:val="InternetLink"/>
          <w:rFonts w:cs="Times New Roman" w:ascii="Times New Roman" w:hAnsi="Times New Roman"/>
          <w:color w:val="0000FF"/>
          <w:u w:val="single"/>
          <w:lang w:val="pt-BR" w:eastAsia="es-CO"/>
        </w:rPr>
        <w:t>ie.santaelena@medellin.gov.co</w:t>
      </w:r>
    </w:hyperlink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</w:r>
  </w:p>
  <w:p>
    <w:pPr>
      <w:pStyle w:val="Normal"/>
      <w:tabs>
        <w:tab w:val="center" w:pos="4681" w:leader="none"/>
        <w:tab w:val="left" w:pos="8100" w:leader="none"/>
      </w:tabs>
      <w:jc w:val="center"/>
      <w:rPr/>
    </w:pPr>
    <w:r>
      <w:rPr>
        <w:rFonts w:cs="Times New Roman" w:ascii="Times New Roman" w:hAnsi="Times New Roman"/>
        <w:lang w:eastAsia="es-CO"/>
      </w:rPr>
      <w:t>Corregimiento Santa Elena – Kilómetro 15 – Telefax: 5381304</w:t>
    </w:r>
  </w:p>
  <w:p>
    <w:pPr>
      <w:pStyle w:val="Footer"/>
      <w:jc w:val="center"/>
      <w:rPr/>
    </w:pPr>
    <w:r>
      <w:rPr>
        <w:rFonts w:cs="Times New Roman" w:ascii="Times New Roman" w:hAnsi="Times New Roman"/>
        <w:lang w:val="pt-BR" w:eastAsia="es-CO"/>
      </w:rPr>
      <w:t xml:space="preserve">E-mail: </w:t>
    </w:r>
    <w:hyperlink r:id="rId1">
      <w:r>
        <w:rPr>
          <w:rStyle w:val="InternetLink"/>
          <w:rFonts w:cs="Times New Roman" w:ascii="Times New Roman" w:hAnsi="Times New Roman"/>
          <w:color w:val="0000FF"/>
          <w:u w:val="single"/>
          <w:lang w:val="pt-BR" w:eastAsia="es-CO"/>
        </w:rPr>
        <w:t>ie.santaelena@medellin.gov.co</w:t>
      </w:r>
    </w:hyperlink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4"/>
      </w:rPr>
    </w:pPr>
    <w:r>
      <w:rPr>
        <w:sz w:val="4"/>
      </w:rPr>
    </w:r>
  </w:p>
  <w:p>
    <w:pPr>
      <w:pStyle w:val="Header"/>
      <w:rPr/>
    </w:pPr>
    <w:r>
      <w:rPr/>
      <mc:AlternateContent>
        <mc:Choice Requires="wps">
          <w:drawing>
            <wp:anchor behindDoc="1" distT="0" distB="0" distL="89535" distR="89535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-137795</wp:posOffset>
              </wp:positionV>
              <wp:extent cx="6304280" cy="748030"/>
              <wp:effectExtent l="0" t="0" r="0" b="0"/>
              <wp:wrapSquare wrapText="bothSides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00" cy="74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9923" w:type="dxa"/>
                            <w:jc w:val="center"/>
                            <w:tblInd w:w="0" w:type="dxa"/>
                            <w:tbl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blBorders>
                            <w:tblCellMar>
                              <w:top w:w="0" w:type="dxa"/>
                              <w:left w:w="40" w:type="dxa"/>
                              <w:bottom w:w="0" w:type="dxa"/>
                              <w:right w:w="70" w:type="dxa"/>
                            </w:tblCellMar>
                            <w:tblLook w:val="0000" w:noVBand="0" w:noHBand="0" w:lastColumn="0" w:firstColumn="0" w:lastRow="0" w:firstRow="0"/>
                          </w:tblPr>
                          <w:tblGrid>
                            <w:gridCol w:w="1488"/>
                            <w:gridCol w:w="6804"/>
                            <w:gridCol w:w="1631"/>
                          </w:tblGrid>
                          <w:tr>
                            <w:trPr>
                              <w:trHeight w:val="42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0" w:name="__UnoMark__139_179590529"/>
                                <w:bookmarkStart w:id="1" w:name="__UnoMark__139_179590529"/>
                                <w:bookmarkEnd w:id="1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" w:name="__UnoMark__141_179590529"/>
                                <w:bookmarkStart w:id="3" w:name="__UnoMark__140_179590529"/>
                                <w:bookmarkEnd w:id="2"/>
                                <w:bookmarkEnd w:id="3"/>
                                <w:r>
                                  <w:rPr>
                                    <w:bCs/>
                                    <w:color w:val="00000A"/>
                                    <w:sz w:val="28"/>
                                    <w:szCs w:val="20"/>
                                  </w:rPr>
                                  <w:t>INSTITUCION EDUCATIVA SANTA ELENA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restart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</w:tcPr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pPr>
                                <w:bookmarkStart w:id="4" w:name="__UnoMark__142_179590529"/>
                                <w:bookmarkStart w:id="5" w:name="__UnoMark__142_179590529"/>
                                <w:bookmarkEnd w:id="5"/>
                                <w:r>
                                  <w:rPr>
                                    <w:bCs/>
                                    <w:color w:val="00000A"/>
                                    <w:sz w:val="4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Código: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Versión: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Hoja: 1 de  1</w:t>
                                </w:r>
                              </w:p>
                              <w:p>
                                <w:pPr>
                                  <w:pStyle w:val="Normal"/>
                                  <w:spacing w:lineRule="auto" w:line="360"/>
                                  <w:rPr>
                                    <w:color w:val="00000A"/>
                                  </w:rPr>
                                </w:pPr>
                                <w:bookmarkStart w:id="6" w:name="__UnoMark__143_179590529"/>
                                <w:bookmarkEnd w:id="6"/>
                                <w:r>
                                  <w:rPr>
                                    <w:bCs/>
                                    <w:color w:val="00000A"/>
                                    <w:sz w:val="10"/>
                                    <w:szCs w:val="16"/>
                                  </w:rPr>
                                  <w:t>Fecha elaboración: 31/01/2015</w:t>
                                </w:r>
                              </w:p>
                            </w:tc>
                          </w:tr>
                          <w:tr>
                            <w:trPr>
                              <w:trHeight w:val="325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7" w:name="__UnoMark__144_179590529"/>
                                <w:bookmarkStart w:id="8" w:name="__UnoMark__145_179590529"/>
                                <w:bookmarkStart w:id="9" w:name="__UnoMark__144_179590529"/>
                                <w:bookmarkStart w:id="10" w:name="__UnoMark__145_179590529"/>
                                <w:bookmarkEnd w:id="9"/>
                                <w:bookmarkEnd w:id="10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11" w:name="__UnoMark__147_179590529"/>
                                <w:bookmarkStart w:id="12" w:name="__UnoMark__146_179590529"/>
                                <w:bookmarkEnd w:id="11"/>
                                <w:bookmarkEnd w:id="12"/>
                                <w:r>
                                  <w:rPr>
                                    <w:bCs/>
                                    <w:color w:val="00000A"/>
                                    <w:sz w:val="20"/>
                                    <w:szCs w:val="20"/>
                                  </w:rPr>
                                  <w:t>NIT: 811.017.836-7 DANE: 205001011031 Núcleo: 925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13" w:name="__UnoMark__148_179590529"/>
                                <w:bookmarkStart w:id="14" w:name="__UnoMark__149_179590529"/>
                                <w:bookmarkStart w:id="15" w:name="__UnoMark__148_179590529"/>
                                <w:bookmarkStart w:id="16" w:name="__UnoMark__149_179590529"/>
                                <w:bookmarkEnd w:id="15"/>
                                <w:bookmarkEnd w:id="16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70" w:hRule="atLeast"/>
                              <w:cantSplit w:val="true"/>
                            </w:trPr>
                            <w:tc>
                              <w:tcPr>
                                <w:tcW w:w="1488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  <w:lang w:eastAsia="es-CO"/>
                                  </w:rPr>
                                </w:pPr>
                                <w:bookmarkStart w:id="17" w:name="__UnoMark__150_179590529"/>
                                <w:bookmarkStart w:id="18" w:name="__UnoMark__151_179590529"/>
                                <w:bookmarkStart w:id="19" w:name="__UnoMark__150_179590529"/>
                                <w:bookmarkStart w:id="20" w:name="__UnoMark__151_179590529"/>
                                <w:bookmarkEnd w:id="19"/>
                                <w:bookmarkEnd w:id="20"/>
                                <w:r>
                                  <w:rPr>
                                    <w:color w:val="00000A"/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804" w:type="dxa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1" w:name="__UnoMark__152_179590529"/>
                                <w:bookmarkEnd w:id="21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Aprobado por Resoluciones  Nº 16268/2002  y N° 0715/2004</w:t>
                                </w:r>
                              </w:p>
                              <w:p>
                                <w:pPr>
                                  <w:pStyle w:val="Normal"/>
                                  <w:jc w:val="center"/>
                                  <w:rPr>
                                    <w:color w:val="00000A"/>
                                  </w:rPr>
                                </w:pPr>
                                <w:bookmarkStart w:id="22" w:name="__UnoMark__153_179590529"/>
                                <w:bookmarkEnd w:id="22"/>
                                <w:r>
                                  <w:rPr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  <w:t>Niveles de Preescolar, Primaria, Secundaria, Media académica y Técnica</w:t>
                                </w:r>
                              </w:p>
                            </w:tc>
                            <w:tc>
                              <w:tcPr>
                                <w:tcW w:w="1631" w:type="dxa"/>
                                <w:vMerge w:val="continue"/>
                                <w:tcBorders>
                                  <w:top w:val="single" w:sz="4" w:space="0" w:color="00000A"/>
                                  <w:left w:val="single" w:sz="4" w:space="0" w:color="00000A"/>
                                  <w:bottom w:val="single" w:sz="4" w:space="0" w:color="00000A"/>
                                  <w:right w:val="single" w:sz="4" w:space="0" w:color="00000A"/>
                                  <w:insideH w:val="single" w:sz="4" w:space="0" w:color="00000A"/>
                                  <w:insideV w:val="single" w:sz="4" w:space="0" w:color="00000A"/>
                                </w:tcBorders>
                                <w:shd w:fill="auto" w:val="clear"/>
                                <w:tcMar>
                                  <w:left w:w="40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pPr>
                                <w:bookmarkStart w:id="23" w:name="__UnoMark__154_179590529"/>
                                <w:bookmarkStart w:id="24" w:name="__UnoMark__154_179590529"/>
                                <w:bookmarkEnd w:id="24"/>
                                <w:r>
                                  <w:rPr>
                                    <w:b/>
                                    <w:bCs/>
                                    <w:color w:val="00000A"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8.15pt;margin-top:-10.85pt;width:496.3pt;height:58.8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9923" w:type="dxa"/>
                      <w:jc w:val="center"/>
                      <w:tblInd w:w="0" w:type="dxa"/>
                      <w:tblBorders>
                        <w:top w:val="single" w:sz="4" w:space="0" w:color="00000A"/>
                        <w:left w:val="single" w:sz="4" w:space="0" w:color="00000A"/>
                        <w:bottom w:val="single" w:sz="4" w:space="0" w:color="00000A"/>
                        <w:right w:val="single" w:sz="4" w:space="0" w:color="00000A"/>
                        <w:insideH w:val="single" w:sz="4" w:space="0" w:color="00000A"/>
                        <w:insideV w:val="single" w:sz="4" w:space="0" w:color="00000A"/>
                      </w:tblBorders>
                      <w:tblCellMar>
                        <w:top w:w="0" w:type="dxa"/>
                        <w:left w:w="40" w:type="dxa"/>
                        <w:bottom w:w="0" w:type="dxa"/>
                        <w:right w:w="70" w:type="dxa"/>
                      </w:tblCellMar>
                      <w:tblLook w:val="0000" w:noVBand="0" w:noHBand="0" w:lastColumn="0" w:firstColumn="0" w:lastRow="0" w:firstRow="0"/>
                    </w:tblPr>
                    <w:tblGrid>
                      <w:gridCol w:w="1488"/>
                      <w:gridCol w:w="6804"/>
                      <w:gridCol w:w="1631"/>
                    </w:tblGrid>
                    <w:tr>
                      <w:trPr>
                        <w:trHeight w:val="420" w:hRule="atLeast"/>
                        <w:cantSplit w:val="true"/>
                      </w:trPr>
                      <w:tc>
                        <w:tcPr>
                          <w:tcW w:w="1488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25" w:name="__UnoMark__139_179590529"/>
                          <w:bookmarkStart w:id="26" w:name="__UnoMark__139_179590529"/>
                          <w:bookmarkEnd w:id="26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27" w:name="__UnoMark__141_179590529"/>
                          <w:bookmarkStart w:id="28" w:name="__UnoMark__140_179590529"/>
                          <w:bookmarkEnd w:id="27"/>
                          <w:bookmarkEnd w:id="28"/>
                          <w:r>
                            <w:rPr>
                              <w:bCs/>
                              <w:color w:val="00000A"/>
                              <w:sz w:val="28"/>
                              <w:szCs w:val="20"/>
                            </w:rPr>
                            <w:t>INSTITUCION EDUCATIVA SANTA ELENA</w:t>
                          </w:r>
                        </w:p>
                      </w:tc>
                      <w:tc>
                        <w:tcPr>
                          <w:tcW w:w="1631" w:type="dxa"/>
                          <w:vMerge w:val="restart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</w:tcPr>
                        <w:p>
                          <w:pPr>
                            <w:pStyle w:val="Normal"/>
                            <w:spacing w:lineRule="auto" w:line="360"/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pPr>
                          <w:bookmarkStart w:id="29" w:name="__UnoMark__142_179590529"/>
                          <w:bookmarkStart w:id="30" w:name="__UnoMark__142_179590529"/>
                          <w:bookmarkEnd w:id="30"/>
                          <w:r>
                            <w:rPr>
                              <w:bCs/>
                              <w:color w:val="00000A"/>
                              <w:sz w:val="4"/>
                              <w:szCs w:val="18"/>
                            </w:rPr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Código: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Versión: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Hoja: 1 de  1</w:t>
                          </w:r>
                        </w:p>
                        <w:p>
                          <w:pPr>
                            <w:pStyle w:val="Normal"/>
                            <w:spacing w:lineRule="auto" w:line="360"/>
                            <w:rPr>
                              <w:color w:val="00000A"/>
                            </w:rPr>
                          </w:pPr>
                          <w:bookmarkStart w:id="31" w:name="__UnoMark__143_179590529"/>
                          <w:bookmarkEnd w:id="31"/>
                          <w:r>
                            <w:rPr>
                              <w:bCs/>
                              <w:color w:val="00000A"/>
                              <w:sz w:val="10"/>
                              <w:szCs w:val="16"/>
                            </w:rPr>
                            <w:t>Fecha elaboración: 31/01/2015</w:t>
                          </w:r>
                        </w:p>
                      </w:tc>
                    </w:tr>
                    <w:tr>
                      <w:trPr>
                        <w:trHeight w:val="325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32" w:name="__UnoMark__144_179590529"/>
                          <w:bookmarkStart w:id="33" w:name="__UnoMark__145_179590529"/>
                          <w:bookmarkStart w:id="34" w:name="__UnoMark__144_179590529"/>
                          <w:bookmarkStart w:id="35" w:name="__UnoMark__145_179590529"/>
                          <w:bookmarkEnd w:id="34"/>
                          <w:bookmarkEnd w:id="35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36" w:name="__UnoMark__147_179590529"/>
                          <w:bookmarkStart w:id="37" w:name="__UnoMark__146_179590529"/>
                          <w:bookmarkEnd w:id="36"/>
                          <w:bookmarkEnd w:id="37"/>
                          <w:r>
                            <w:rPr>
                              <w:bCs/>
                              <w:color w:val="00000A"/>
                              <w:sz w:val="20"/>
                              <w:szCs w:val="20"/>
                            </w:rPr>
                            <w:t>NIT: 811.017.836-7 DANE: 205001011031 Núcleo: 925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38" w:name="__UnoMark__148_179590529"/>
                          <w:bookmarkStart w:id="39" w:name="__UnoMark__149_179590529"/>
                          <w:bookmarkStart w:id="40" w:name="__UnoMark__148_179590529"/>
                          <w:bookmarkStart w:id="41" w:name="__UnoMark__149_179590529"/>
                          <w:bookmarkEnd w:id="40"/>
                          <w:bookmarkEnd w:id="41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  <w:tr>
                      <w:trPr>
                        <w:trHeight w:val="70" w:hRule="atLeast"/>
                        <w:cantSplit w:val="true"/>
                      </w:trPr>
                      <w:tc>
                        <w:tcPr>
                          <w:tcW w:w="1488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  <w:lang w:eastAsia="es-CO"/>
                            </w:rPr>
                          </w:pPr>
                          <w:bookmarkStart w:id="42" w:name="__UnoMark__150_179590529"/>
                          <w:bookmarkStart w:id="43" w:name="__UnoMark__151_179590529"/>
                          <w:bookmarkStart w:id="44" w:name="__UnoMark__150_179590529"/>
                          <w:bookmarkStart w:id="45" w:name="__UnoMark__151_179590529"/>
                          <w:bookmarkEnd w:id="44"/>
                          <w:bookmarkEnd w:id="45"/>
                          <w:r>
                            <w:rPr>
                              <w:color w:val="00000A"/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804" w:type="dxa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46" w:name="__UnoMark__152_179590529"/>
                          <w:bookmarkEnd w:id="46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Aprobado por Resoluciones  Nº 16268/2002  y N° 0715/2004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color w:val="00000A"/>
                            </w:rPr>
                          </w:pPr>
                          <w:bookmarkStart w:id="47" w:name="__UnoMark__153_179590529"/>
                          <w:bookmarkEnd w:id="47"/>
                          <w:r>
                            <w:rPr>
                              <w:bCs/>
                              <w:color w:val="00000A"/>
                              <w:sz w:val="18"/>
                              <w:szCs w:val="18"/>
                            </w:rPr>
                            <w:t>Niveles de Preescolar, Primaria, Secundaria, Media académica y Técnica</w:t>
                          </w:r>
                        </w:p>
                      </w:tc>
                      <w:tc>
                        <w:tcPr>
                          <w:tcW w:w="1631" w:type="dxa"/>
                          <w:vMerge w:val="continue"/>
                          <w:tcBorders>
                            <w:top w:val="single" w:sz="4" w:space="0" w:color="00000A"/>
                            <w:left w:val="single" w:sz="4" w:space="0" w:color="00000A"/>
                            <w:bottom w:val="single" w:sz="4" w:space="0" w:color="00000A"/>
                            <w:right w:val="single" w:sz="4" w:space="0" w:color="00000A"/>
                            <w:insideH w:val="single" w:sz="4" w:space="0" w:color="00000A"/>
                            <w:insideV w:val="single" w:sz="4" w:space="0" w:color="00000A"/>
                          </w:tcBorders>
                          <w:shd w:fill="auto" w:val="clear"/>
                          <w:tcMar>
                            <w:left w:w="40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pPr>
                          <w:bookmarkStart w:id="48" w:name="__UnoMark__154_179590529"/>
                          <w:bookmarkStart w:id="49" w:name="__UnoMark__154_179590529"/>
                          <w:bookmarkEnd w:id="49"/>
                          <w:r>
                            <w:rPr>
                              <w:b/>
                              <w:bCs/>
                              <w:color w:val="00000A"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-6350</wp:posOffset>
          </wp:positionH>
          <wp:positionV relativeFrom="paragraph">
            <wp:posOffset>-40005</wp:posOffset>
          </wp:positionV>
          <wp:extent cx="831215" cy="831215"/>
          <wp:effectExtent l="0" t="0" r="0" b="0"/>
          <wp:wrapNone/>
          <wp:docPr id="3" name="Imagen 1" descr="C:\Users\user\Dropbox\ARCHIVOS SANTA ELENA- 2015\INSTITUCIONAL\Escud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C:\Users\user\Dropbox\ARCHIVOS SANTA ELENA- 2015\INSTITUCIONAL\Escudo instituc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4"/>
      </w:rPr>
    </w:pPr>
    <w:r>
      <w:rPr>
        <w:sz w:val="4"/>
      </w:rPr>
    </w:r>
  </w:p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-6350</wp:posOffset>
          </wp:positionH>
          <wp:positionV relativeFrom="paragraph">
            <wp:posOffset>-40005</wp:posOffset>
          </wp:positionV>
          <wp:extent cx="831215" cy="831215"/>
          <wp:effectExtent l="0" t="0" r="0" b="0"/>
          <wp:wrapNone/>
          <wp:docPr id="15" name="graphic1" descr="C:\Users\user\Dropbox\ARCHIVOS SANTA ELENA- 2015\INSTITUCIONAL\Escudo institu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1" descr="C:\Users\user\Dropbox\ARCHIVOS SANTA ELENA- 2015\INSTITUCIONAL\Escudo institucio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722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4"/>
      <w:szCs w:val="24"/>
      <w:lang w:val="es-CO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f1cad"/>
    <w:rPr>
      <w:rFonts w:ascii="Tahoma" w:hAnsi="Tahoma" w:eastAsia="Times New Roman" w:cs="Tahoma"/>
      <w:sz w:val="16"/>
      <w:szCs w:val="16"/>
      <w:lang w:eastAsia="es-ES"/>
    </w:rPr>
  </w:style>
  <w:style w:type="character" w:styleId="InternetLink">
    <w:name w:val="Internet Link"/>
    <w:semiHidden/>
    <w:unhideWhenUsed/>
    <w:rsid w:val="000f1ca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Actividadesv">
    <w:name w:val="actividades_v"/>
    <w:basedOn w:val="DefaultParagraphFont"/>
    <w:qFormat/>
    <w:rPr/>
  </w:style>
  <w:style w:type="character" w:styleId="A1">
    <w:name w:val="a1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0f1cad"/>
    <w:pPr/>
    <w:rPr>
      <w:sz w:val="20"/>
      <w:szCs w:val="20"/>
    </w:rPr>
  </w:style>
  <w:style w:type="paragraph" w:styleId="Endnotetext">
    <w:name w:val="endnote text"/>
    <w:basedOn w:val="Normal"/>
    <w:link w:val="TextonotaalfinalCar"/>
    <w:uiPriority w:val="99"/>
    <w:semiHidden/>
    <w:unhideWhenUsed/>
    <w:qFormat/>
    <w:rsid w:val="000f1cad"/>
    <w:pPr/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1c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8a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rameContents">
    <w:name w:val="Frame Contents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cs="Times New Roman"/>
      <w:lang w:val="es-ES"/>
    </w:rPr>
  </w:style>
  <w:style w:type="paragraph" w:styleId="A">
    <w:name w:val="a"/>
    <w:basedOn w:val="Normal"/>
    <w:qFormat/>
    <w:pPr>
      <w:spacing w:beforeAutospacing="1" w:afterAutospacing="1"/>
    </w:pPr>
    <w:rPr>
      <w:rFonts w:ascii="Times New Roman" w:hAnsi="Times New Roman" w:cs="Times New Roman"/>
      <w:lang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f5c2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e.santaelena@medellin.gov.co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ie.santaelena@medellin.gov.c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5C3-8D30-4EC8-8912-4882542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LibreOffice/5.1.6.2$Linux_X86_64 LibreOffice_project/10m0$Build-2</Application>
  <Pages>3</Pages>
  <Words>115</Words>
  <Characters>744</Characters>
  <CharactersWithSpaces>835</CharactersWithSpaces>
  <Paragraphs>38</Paragraphs>
  <Company>SECRETAIRA DE EDUCACION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2016-03-04T03:49:00Z</dcterms:created>
  <dc:creator>Yudy</dc:creator>
  <dc:description/>
  <dc:language>en-US</dc:language>
  <cp:lastModifiedBy/>
  <cp:lastPrinted>2014-08-23T07:49:00Z</cp:lastPrinted>
  <dcterms:modified xsi:type="dcterms:W3CDTF">2018-08-16T21:31:30Z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SECRETAIRA DE EDUCACION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