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26F8D" w14:textId="719CF9C5" w:rsidR="000E1029" w:rsidRPr="00A03456" w:rsidRDefault="000E1029" w:rsidP="000E1029">
      <w:pPr>
        <w:autoSpaceDE w:val="0"/>
        <w:autoSpaceDN w:val="0"/>
        <w:adjustRightInd w:val="0"/>
        <w:jc w:val="center"/>
        <w:rPr>
          <w:rFonts w:ascii="Arial" w:hAnsi="Arial" w:cs="Arial"/>
          <w:b/>
          <w:bCs/>
        </w:rPr>
      </w:pPr>
      <w:r w:rsidRPr="00A03456">
        <w:rPr>
          <w:rFonts w:ascii="Arial" w:hAnsi="Arial" w:cs="Arial"/>
          <w:b/>
          <w:bCs/>
        </w:rPr>
        <w:t>RES</w:t>
      </w:r>
      <w:r w:rsidR="00CF6606" w:rsidRPr="00A03456">
        <w:rPr>
          <w:rFonts w:ascii="Arial" w:hAnsi="Arial" w:cs="Arial"/>
          <w:b/>
          <w:bCs/>
        </w:rPr>
        <w:t>OLUCIÓN RECTORAL No. 28</w:t>
      </w:r>
      <w:r w:rsidR="00194B6F" w:rsidRPr="00A03456">
        <w:rPr>
          <w:rFonts w:ascii="Arial" w:hAnsi="Arial" w:cs="Arial"/>
          <w:b/>
          <w:bCs/>
        </w:rPr>
        <w:t xml:space="preserve"> DE 2025</w:t>
      </w:r>
    </w:p>
    <w:p w14:paraId="754E32EF" w14:textId="459B754B" w:rsidR="000E1029" w:rsidRPr="00A03456" w:rsidRDefault="00CF6606" w:rsidP="000E1029">
      <w:pPr>
        <w:autoSpaceDE w:val="0"/>
        <w:autoSpaceDN w:val="0"/>
        <w:adjustRightInd w:val="0"/>
        <w:spacing w:after="240"/>
        <w:jc w:val="center"/>
        <w:rPr>
          <w:rFonts w:ascii="Arial" w:hAnsi="Arial" w:cs="Arial"/>
          <w:lang w:val="es-MX"/>
        </w:rPr>
      </w:pPr>
      <w:r w:rsidRPr="00A03456">
        <w:rPr>
          <w:rFonts w:ascii="Arial" w:hAnsi="Arial" w:cs="Arial"/>
          <w:lang w:val="es-MX"/>
        </w:rPr>
        <w:t xml:space="preserve">(03 de diciembre </w:t>
      </w:r>
      <w:r w:rsidR="007A0FA0" w:rsidRPr="00A03456">
        <w:rPr>
          <w:rFonts w:ascii="Arial" w:hAnsi="Arial" w:cs="Arial"/>
          <w:lang w:val="es-MX"/>
        </w:rPr>
        <w:t xml:space="preserve">de </w:t>
      </w:r>
      <w:r w:rsidRPr="00A03456">
        <w:rPr>
          <w:rFonts w:ascii="Arial" w:hAnsi="Arial" w:cs="Arial"/>
          <w:lang w:val="es-MX"/>
        </w:rPr>
        <w:t>2025)</w:t>
      </w:r>
    </w:p>
    <w:p w14:paraId="616C9055" w14:textId="1CE9F0D6" w:rsidR="00DF29F0" w:rsidRPr="00A03456" w:rsidRDefault="00DF29F0" w:rsidP="000E1029">
      <w:pPr>
        <w:autoSpaceDE w:val="0"/>
        <w:autoSpaceDN w:val="0"/>
        <w:adjustRightInd w:val="0"/>
        <w:spacing w:after="240"/>
        <w:jc w:val="center"/>
        <w:rPr>
          <w:rFonts w:ascii="Arial" w:hAnsi="Arial" w:cs="Arial"/>
          <w:lang w:val="es-MX"/>
        </w:rPr>
      </w:pPr>
    </w:p>
    <w:p w14:paraId="5404FC4D" w14:textId="3EA5E992" w:rsidR="000E1029" w:rsidRPr="00A03456" w:rsidRDefault="000E1029" w:rsidP="009B467D">
      <w:pPr>
        <w:autoSpaceDE w:val="0"/>
        <w:autoSpaceDN w:val="0"/>
        <w:adjustRightInd w:val="0"/>
        <w:jc w:val="center"/>
        <w:rPr>
          <w:rFonts w:ascii="Arial" w:hAnsi="Arial" w:cs="Arial"/>
          <w:b/>
          <w:bCs/>
          <w:lang w:val="es-MX"/>
        </w:rPr>
      </w:pPr>
      <w:r w:rsidRPr="00A03456">
        <w:rPr>
          <w:rFonts w:ascii="Arial" w:hAnsi="Arial" w:cs="Arial"/>
          <w:b/>
          <w:bCs/>
        </w:rPr>
        <w:t xml:space="preserve">“Por medio de la cual se adoptan </w:t>
      </w:r>
      <w:r w:rsidRPr="00A03456">
        <w:rPr>
          <w:rFonts w:ascii="Arial" w:hAnsi="Arial" w:cs="Arial"/>
          <w:b/>
        </w:rPr>
        <w:t>las tarifas educativas por concepto de derechos académicos y servicios complementarios en la Inst</w:t>
      </w:r>
      <w:r w:rsidR="00CF6606" w:rsidRPr="00A03456">
        <w:rPr>
          <w:rFonts w:ascii="Arial" w:hAnsi="Arial" w:cs="Arial"/>
          <w:b/>
        </w:rPr>
        <w:t>itución Educativa Las Nieves</w:t>
      </w:r>
      <w:r w:rsidRPr="00A03456">
        <w:rPr>
          <w:rFonts w:ascii="Arial" w:hAnsi="Arial" w:cs="Arial"/>
          <w:b/>
        </w:rPr>
        <w:t xml:space="preserve"> del </w:t>
      </w:r>
      <w:r w:rsidR="009B467D" w:rsidRPr="00A03456">
        <w:rPr>
          <w:rFonts w:ascii="Arial" w:hAnsi="Arial" w:cs="Arial"/>
          <w:b/>
          <w:bCs/>
          <w:lang w:eastAsia="en-US"/>
        </w:rPr>
        <w:t>Distrito de Ciencia, Tecnología e Innovación de Medellín</w:t>
      </w:r>
      <w:r w:rsidR="00194B6F" w:rsidRPr="00A03456">
        <w:rPr>
          <w:rFonts w:ascii="Arial" w:hAnsi="Arial" w:cs="Arial"/>
          <w:b/>
          <w:bCs/>
        </w:rPr>
        <w:t xml:space="preserve"> para el año lectivo 2026</w:t>
      </w:r>
      <w:r w:rsidRPr="00A03456">
        <w:rPr>
          <w:rFonts w:ascii="Arial" w:hAnsi="Arial" w:cs="Arial"/>
          <w:b/>
          <w:bCs/>
        </w:rPr>
        <w:t>”.</w:t>
      </w:r>
    </w:p>
    <w:p w14:paraId="5E500218" w14:textId="77777777" w:rsidR="000E1029" w:rsidRPr="00A03456" w:rsidRDefault="000E1029" w:rsidP="000E1029">
      <w:pPr>
        <w:autoSpaceDE w:val="0"/>
        <w:autoSpaceDN w:val="0"/>
        <w:adjustRightInd w:val="0"/>
        <w:jc w:val="center"/>
        <w:rPr>
          <w:rFonts w:ascii="Arial" w:hAnsi="Arial" w:cs="Arial"/>
          <w:b/>
          <w:bCs/>
          <w:lang w:val="es-MX"/>
        </w:rPr>
      </w:pPr>
    </w:p>
    <w:p w14:paraId="3E6D30AE" w14:textId="77777777" w:rsidR="000E1029" w:rsidRPr="00A03456" w:rsidRDefault="000E1029" w:rsidP="000E1029">
      <w:pPr>
        <w:autoSpaceDE w:val="0"/>
        <w:autoSpaceDN w:val="0"/>
        <w:adjustRightInd w:val="0"/>
        <w:jc w:val="center"/>
        <w:rPr>
          <w:rFonts w:ascii="Arial" w:hAnsi="Arial" w:cs="Arial"/>
          <w:b/>
          <w:bCs/>
          <w:lang w:val="es-MX"/>
        </w:rPr>
      </w:pPr>
    </w:p>
    <w:p w14:paraId="7DF15481" w14:textId="1D9336EF" w:rsidR="000E1029" w:rsidRPr="00A03456" w:rsidRDefault="000E1029" w:rsidP="000E1029">
      <w:pPr>
        <w:jc w:val="both"/>
        <w:rPr>
          <w:rFonts w:ascii="Arial" w:hAnsi="Arial" w:cs="Arial"/>
          <w:lang w:val="es-MX"/>
        </w:rPr>
      </w:pPr>
      <w:r w:rsidRPr="00A03456">
        <w:rPr>
          <w:rFonts w:ascii="Arial" w:hAnsi="Arial" w:cs="Arial"/>
          <w:b/>
          <w:lang w:val="es-MX"/>
        </w:rPr>
        <w:t>El (la) rector(a) de la Institución Educativa</w:t>
      </w:r>
      <w:r w:rsidR="00CF6606" w:rsidRPr="00A03456">
        <w:rPr>
          <w:rFonts w:ascii="Arial" w:hAnsi="Arial" w:cs="Arial"/>
          <w:lang w:val="es-MX"/>
        </w:rPr>
        <w:t xml:space="preserve"> Las Nieves</w:t>
      </w:r>
      <w:r w:rsidRPr="00A03456">
        <w:rPr>
          <w:rFonts w:ascii="Arial" w:hAnsi="Arial" w:cs="Arial"/>
          <w:lang w:val="es-MX"/>
        </w:rPr>
        <w:t xml:space="preserve">, en uso de sus facultades legales en especial las conferidas por el artículo 10 de la Ley 715 de 2001, Decreto Nacional 1075 de 2015 y de conformidad con lo dispuesto en </w:t>
      </w:r>
      <w:r w:rsidR="00CD0B68" w:rsidRPr="00A03456">
        <w:rPr>
          <w:rFonts w:ascii="Arial" w:hAnsi="Arial" w:cs="Arial"/>
          <w:b/>
        </w:rPr>
        <w:t xml:space="preserve">La </w:t>
      </w:r>
      <w:r w:rsidR="00CD0B68" w:rsidRPr="00A03456">
        <w:rPr>
          <w:rFonts w:ascii="Arial" w:hAnsi="Arial" w:cs="Arial"/>
          <w:b/>
          <w:lang w:val="es-MX"/>
        </w:rPr>
        <w:t xml:space="preserve">Resolución </w:t>
      </w:r>
      <w:r w:rsidR="007A0FA0" w:rsidRPr="00A03456">
        <w:rPr>
          <w:rFonts w:ascii="Arial" w:hAnsi="Arial" w:cs="Arial"/>
          <w:b/>
          <w:lang w:val="es-MX"/>
        </w:rPr>
        <w:t xml:space="preserve">Municipal </w:t>
      </w:r>
      <w:r w:rsidR="007A0FA0" w:rsidRPr="00A03456">
        <w:rPr>
          <w:rFonts w:ascii="Arial" w:hAnsi="Arial" w:cs="Arial"/>
          <w:b/>
          <w:bCs/>
          <w:lang w:val="es-MX" w:eastAsia="en-US"/>
        </w:rPr>
        <w:t>202550098006</w:t>
      </w:r>
      <w:r w:rsidR="007A0FA0" w:rsidRPr="00A03456">
        <w:rPr>
          <w:rFonts w:ascii="Arial" w:hAnsi="Arial" w:cs="Arial"/>
          <w:b/>
          <w:lang w:val="es-MX"/>
        </w:rPr>
        <w:t xml:space="preserve"> del 01</w:t>
      </w:r>
      <w:r w:rsidR="00CD0B68" w:rsidRPr="00A03456">
        <w:rPr>
          <w:rFonts w:ascii="Arial" w:hAnsi="Arial" w:cs="Arial"/>
          <w:b/>
          <w:lang w:val="es-MX"/>
        </w:rPr>
        <w:t xml:space="preserve"> de </w:t>
      </w:r>
      <w:r w:rsidR="007A0FA0" w:rsidRPr="00A03456">
        <w:rPr>
          <w:rFonts w:ascii="Arial" w:hAnsi="Arial" w:cs="Arial"/>
          <w:b/>
          <w:lang w:val="es-MX"/>
        </w:rPr>
        <w:t>diciembre de 2025</w:t>
      </w:r>
      <w:r w:rsidR="009B467D" w:rsidRPr="00A03456">
        <w:rPr>
          <w:rFonts w:ascii="Arial" w:hAnsi="Arial" w:cs="Arial"/>
          <w:lang w:val="es-MX"/>
        </w:rPr>
        <w:t xml:space="preserve"> del Distrito de la Ciencia, tecnología e Innovación de Medellín</w:t>
      </w:r>
      <w:r w:rsidR="00CF6606" w:rsidRPr="00A03456">
        <w:rPr>
          <w:rFonts w:ascii="Arial" w:hAnsi="Arial" w:cs="Arial"/>
          <w:lang w:val="es-MX"/>
        </w:rPr>
        <w:t xml:space="preserve">, el Acuerdo Directivo No 14 del 03 de diciembre </w:t>
      </w:r>
      <w:r w:rsidRPr="00A03456">
        <w:rPr>
          <w:rFonts w:ascii="Arial" w:hAnsi="Arial" w:cs="Arial"/>
          <w:lang w:val="es-MX"/>
        </w:rPr>
        <w:t>202</w:t>
      </w:r>
      <w:r w:rsidR="007A0FA0" w:rsidRPr="00A03456">
        <w:rPr>
          <w:rFonts w:ascii="Arial" w:hAnsi="Arial" w:cs="Arial"/>
          <w:lang w:val="es-MX"/>
        </w:rPr>
        <w:t>5</w:t>
      </w:r>
      <w:r w:rsidRPr="00A03456">
        <w:rPr>
          <w:rFonts w:ascii="Arial" w:hAnsi="Arial" w:cs="Arial"/>
          <w:lang w:val="es-MX"/>
        </w:rPr>
        <w:t xml:space="preserve"> y</w:t>
      </w:r>
    </w:p>
    <w:p w14:paraId="2E43DC24" w14:textId="77777777" w:rsidR="000E1029" w:rsidRPr="00A03456" w:rsidRDefault="000E1029" w:rsidP="000E1029">
      <w:pPr>
        <w:jc w:val="both"/>
        <w:rPr>
          <w:rFonts w:ascii="Arial" w:hAnsi="Arial" w:cs="Arial"/>
          <w:lang w:val="es-MX"/>
        </w:rPr>
      </w:pPr>
    </w:p>
    <w:p w14:paraId="7C610D8B" w14:textId="77777777" w:rsidR="000E1029" w:rsidRPr="00A03456" w:rsidRDefault="000E1029" w:rsidP="000E1029">
      <w:pPr>
        <w:jc w:val="both"/>
        <w:rPr>
          <w:rFonts w:ascii="Arial" w:hAnsi="Arial" w:cs="Arial"/>
          <w:lang w:val="es-MX"/>
        </w:rPr>
      </w:pPr>
    </w:p>
    <w:p w14:paraId="32517DBD" w14:textId="77777777" w:rsidR="000E1029" w:rsidRPr="00A03456" w:rsidRDefault="000E1029" w:rsidP="000E1029">
      <w:pPr>
        <w:pStyle w:val="Sinespaciado"/>
        <w:ind w:left="720"/>
        <w:jc w:val="center"/>
        <w:rPr>
          <w:rFonts w:ascii="Arial" w:hAnsi="Arial" w:cs="Arial"/>
          <w:b/>
          <w:bCs/>
          <w:sz w:val="22"/>
          <w:szCs w:val="22"/>
        </w:rPr>
      </w:pPr>
      <w:r w:rsidRPr="00A03456">
        <w:rPr>
          <w:rFonts w:ascii="Arial" w:hAnsi="Arial" w:cs="Arial"/>
          <w:b/>
          <w:bCs/>
          <w:sz w:val="22"/>
          <w:szCs w:val="22"/>
        </w:rPr>
        <w:t>CONSIDERANDO QUE</w:t>
      </w:r>
    </w:p>
    <w:p w14:paraId="7B519964" w14:textId="77777777" w:rsidR="000E1029" w:rsidRPr="00A03456" w:rsidRDefault="000E1029" w:rsidP="000E1029">
      <w:pPr>
        <w:pStyle w:val="Sinespaciado"/>
        <w:ind w:left="720"/>
        <w:jc w:val="both"/>
        <w:rPr>
          <w:rFonts w:ascii="Arial" w:hAnsi="Arial" w:cs="Arial"/>
          <w:b/>
          <w:bCs/>
          <w:sz w:val="22"/>
          <w:szCs w:val="22"/>
        </w:rPr>
      </w:pPr>
    </w:p>
    <w:p w14:paraId="04769A73" w14:textId="550B1276" w:rsidR="000E1029" w:rsidRPr="00A03456" w:rsidRDefault="000E1029" w:rsidP="000E1029">
      <w:pPr>
        <w:jc w:val="both"/>
        <w:rPr>
          <w:rFonts w:ascii="Arial" w:hAnsi="Arial" w:cs="Arial"/>
          <w:lang w:val="es-MX"/>
        </w:rPr>
      </w:pPr>
      <w:r w:rsidRPr="00A03456">
        <w:rPr>
          <w:rFonts w:ascii="Arial" w:hAnsi="Arial" w:cs="Arial"/>
          <w:bCs/>
        </w:rPr>
        <w:t>La Institución Educativa</w:t>
      </w:r>
      <w:r w:rsidR="00CF6606" w:rsidRPr="00A03456">
        <w:rPr>
          <w:rFonts w:ascii="Arial" w:hAnsi="Arial" w:cs="Arial"/>
          <w:b/>
          <w:bCs/>
        </w:rPr>
        <w:t xml:space="preserve"> Las Nieves</w:t>
      </w:r>
      <w:r w:rsidRPr="00A03456">
        <w:rPr>
          <w:rFonts w:ascii="Arial" w:hAnsi="Arial" w:cs="Arial"/>
          <w:b/>
          <w:bCs/>
        </w:rPr>
        <w:t>,</w:t>
      </w:r>
      <w:r w:rsidRPr="00A03456">
        <w:rPr>
          <w:rFonts w:ascii="Arial" w:hAnsi="Arial" w:cs="Arial"/>
          <w:lang w:val="es-MX"/>
        </w:rPr>
        <w:t xml:space="preserve"> pertenece a la entidad territorial certificada para la prestación del servicio educativo Municipio de Medellín, al cual corresponde administrar y distribuir entre los establecimientos educativos de su jurisdicción, los recursos financieros provenientes del Sistema General de Participaciones.</w:t>
      </w:r>
    </w:p>
    <w:p w14:paraId="550FF0D6" w14:textId="77777777" w:rsidR="000E1029" w:rsidRPr="00A03456" w:rsidRDefault="000E1029" w:rsidP="000E1029">
      <w:pPr>
        <w:pStyle w:val="Sinespaciado"/>
        <w:ind w:left="720"/>
        <w:jc w:val="both"/>
        <w:rPr>
          <w:rFonts w:ascii="Arial" w:hAnsi="Arial" w:cs="Arial"/>
          <w:sz w:val="22"/>
          <w:szCs w:val="22"/>
        </w:rPr>
      </w:pPr>
    </w:p>
    <w:p w14:paraId="5F973162" w14:textId="77777777" w:rsidR="000E1029" w:rsidRPr="00A03456" w:rsidRDefault="000E1029" w:rsidP="000E1029">
      <w:pPr>
        <w:pStyle w:val="Sinespaciado"/>
        <w:jc w:val="both"/>
        <w:rPr>
          <w:rFonts w:ascii="Arial" w:hAnsi="Arial" w:cs="Arial"/>
          <w:sz w:val="22"/>
          <w:szCs w:val="22"/>
        </w:rPr>
      </w:pPr>
      <w:r w:rsidRPr="00A03456">
        <w:rPr>
          <w:rFonts w:ascii="Arial" w:hAnsi="Arial" w:cs="Arial"/>
          <w:sz w:val="22"/>
          <w:szCs w:val="22"/>
        </w:rPr>
        <w:t>El artículo 183 de la Ley 115 de 1994 (declarado exequible de manera condicionada por la Corte Constitucional en la Sentencia C-376 de 2010) y el numeral 12 del artículo 5 de la Ley 715 de 2001, facultan al Gobierno Nacional para regular los cobros que puedan hacerse por concepto de derechos académicos en las instituciones educativas del Estado.</w:t>
      </w:r>
    </w:p>
    <w:p w14:paraId="464E6F2B" w14:textId="77777777" w:rsidR="000E1029" w:rsidRPr="00A03456" w:rsidRDefault="000E1029" w:rsidP="000E1029">
      <w:pPr>
        <w:autoSpaceDE w:val="0"/>
        <w:autoSpaceDN w:val="0"/>
        <w:adjustRightInd w:val="0"/>
        <w:ind w:left="720"/>
        <w:jc w:val="both"/>
        <w:rPr>
          <w:rFonts w:ascii="Arial" w:eastAsia="Calibri" w:hAnsi="Arial" w:cs="Arial"/>
        </w:rPr>
      </w:pPr>
    </w:p>
    <w:p w14:paraId="4A0B940B" w14:textId="19E95AC2" w:rsidR="000E1029" w:rsidRPr="00A03456" w:rsidRDefault="000E1029" w:rsidP="00EA4F02">
      <w:pPr>
        <w:pStyle w:val="Sinespaciado"/>
        <w:jc w:val="both"/>
        <w:rPr>
          <w:rFonts w:ascii="Arial" w:hAnsi="Arial" w:cs="Arial"/>
          <w:sz w:val="22"/>
          <w:szCs w:val="22"/>
        </w:rPr>
      </w:pPr>
      <w:r w:rsidRPr="00A03456">
        <w:rPr>
          <w:rFonts w:ascii="Arial" w:hAnsi="Arial" w:cs="Arial"/>
          <w:sz w:val="22"/>
          <w:szCs w:val="22"/>
        </w:rPr>
        <w:t>El artículo 2.3.1.6.4.2 del Decreto Nacional 1075 de 2015, en concordancia con el artículo 67 de la Constitución Política de Colombia, establece el principio de gratuidad del servicio público educativo estatal, sin perjuicio del cobro de derechos académicos a quienes puedan sufragarlos, así como la responsabilidad que en relación con la educación tiene el Estado, la sociedad y la familia.</w:t>
      </w:r>
    </w:p>
    <w:p w14:paraId="284B8B6F" w14:textId="77777777" w:rsidR="004944DA" w:rsidRPr="00A03456" w:rsidRDefault="004944DA" w:rsidP="00EA4F02">
      <w:pPr>
        <w:pStyle w:val="Sinespaciado"/>
        <w:jc w:val="both"/>
        <w:rPr>
          <w:rFonts w:ascii="Arial" w:hAnsi="Arial" w:cs="Arial"/>
          <w:sz w:val="22"/>
          <w:szCs w:val="22"/>
        </w:rPr>
      </w:pPr>
    </w:p>
    <w:p w14:paraId="34BF96B9" w14:textId="6D344F8B" w:rsidR="000E1029" w:rsidRPr="00A03456" w:rsidRDefault="000E1029" w:rsidP="000E1029">
      <w:pPr>
        <w:autoSpaceDE w:val="0"/>
        <w:autoSpaceDN w:val="0"/>
        <w:adjustRightInd w:val="0"/>
        <w:jc w:val="both"/>
        <w:rPr>
          <w:rFonts w:ascii="Arial" w:hAnsi="Arial" w:cs="Arial"/>
        </w:rPr>
      </w:pPr>
      <w:r w:rsidRPr="00A03456">
        <w:rPr>
          <w:rFonts w:ascii="Arial" w:hAnsi="Arial" w:cs="Arial"/>
        </w:rPr>
        <w:t>El artículo 2.3.3.5.3.6.7</w:t>
      </w:r>
      <w:r w:rsidR="00694DF1" w:rsidRPr="00A03456">
        <w:rPr>
          <w:rFonts w:ascii="Arial" w:hAnsi="Arial" w:cs="Arial"/>
        </w:rPr>
        <w:t xml:space="preserve"> del Decreto Nacional 1075 de 2</w:t>
      </w:r>
      <w:r w:rsidRPr="00A03456">
        <w:rPr>
          <w:rFonts w:ascii="Arial" w:hAnsi="Arial" w:cs="Arial"/>
        </w:rPr>
        <w:t>0</w:t>
      </w:r>
      <w:r w:rsidR="00694DF1" w:rsidRPr="00A03456">
        <w:rPr>
          <w:rFonts w:ascii="Arial" w:hAnsi="Arial" w:cs="Arial"/>
        </w:rPr>
        <w:t>1</w:t>
      </w:r>
      <w:r w:rsidRPr="00A03456">
        <w:rPr>
          <w:rFonts w:ascii="Arial" w:hAnsi="Arial" w:cs="Arial"/>
        </w:rPr>
        <w:t xml:space="preserve">5, faculta a las entidades territoriales certificadas para establecer los criterios que deberán atender las instituciones </w:t>
      </w:r>
      <w:r w:rsidR="009B467D" w:rsidRPr="00A03456">
        <w:rPr>
          <w:rFonts w:ascii="Arial" w:hAnsi="Arial" w:cs="Arial"/>
        </w:rPr>
        <w:t xml:space="preserve">  </w:t>
      </w:r>
      <w:r w:rsidRPr="00A03456">
        <w:rPr>
          <w:rFonts w:ascii="Arial" w:hAnsi="Arial" w:cs="Arial"/>
        </w:rPr>
        <w:t>educativas estatales que ofrezcan programas de educación de adultos en cuanto al cobro de derechos académicos.</w:t>
      </w:r>
    </w:p>
    <w:p w14:paraId="3505F7B9" w14:textId="77777777" w:rsidR="000E1029" w:rsidRPr="00A03456" w:rsidRDefault="000E1029" w:rsidP="000E1029">
      <w:pPr>
        <w:pStyle w:val="Prrafodelista"/>
        <w:rPr>
          <w:rFonts w:ascii="Arial" w:hAnsi="Arial" w:cs="Arial"/>
          <w:sz w:val="22"/>
          <w:szCs w:val="22"/>
        </w:rPr>
      </w:pPr>
    </w:p>
    <w:p w14:paraId="40FD36BE" w14:textId="77777777" w:rsidR="000E1029" w:rsidRPr="00A03456" w:rsidRDefault="000E1029" w:rsidP="000E1029">
      <w:pPr>
        <w:pStyle w:val="Prrafodelista"/>
        <w:ind w:left="0"/>
        <w:jc w:val="both"/>
        <w:rPr>
          <w:rFonts w:ascii="Arial" w:hAnsi="Arial" w:cs="Arial"/>
          <w:sz w:val="22"/>
          <w:szCs w:val="22"/>
        </w:rPr>
      </w:pPr>
      <w:r w:rsidRPr="00A03456">
        <w:rPr>
          <w:rFonts w:ascii="Arial" w:hAnsi="Arial" w:cs="Arial"/>
          <w:sz w:val="22"/>
          <w:szCs w:val="22"/>
        </w:rPr>
        <w:lastRenderedPageBreak/>
        <w:t>El artículo 2.3.4.12 del Decreto Nacional 1075 de 2015, establece algunas prohibiciones para las asociaciones de padres de familia.</w:t>
      </w:r>
    </w:p>
    <w:p w14:paraId="4D29FC40" w14:textId="77777777" w:rsidR="000E1029" w:rsidRPr="00A03456" w:rsidRDefault="000E1029" w:rsidP="000E1029">
      <w:pPr>
        <w:pStyle w:val="Prrafodelista"/>
        <w:rPr>
          <w:rFonts w:ascii="Arial" w:hAnsi="Arial" w:cs="Arial"/>
          <w:color w:val="000000"/>
          <w:sz w:val="22"/>
          <w:szCs w:val="22"/>
        </w:rPr>
      </w:pPr>
    </w:p>
    <w:p w14:paraId="5EBF0C4C" w14:textId="77777777" w:rsidR="000E1029" w:rsidRPr="00A03456" w:rsidRDefault="000E1029" w:rsidP="000E1029">
      <w:pPr>
        <w:pStyle w:val="Sinespaciado"/>
        <w:jc w:val="both"/>
        <w:rPr>
          <w:rFonts w:ascii="Arial" w:hAnsi="Arial" w:cs="Arial"/>
          <w:color w:val="000000"/>
          <w:sz w:val="22"/>
          <w:szCs w:val="22"/>
        </w:rPr>
      </w:pPr>
      <w:r w:rsidRPr="00A03456">
        <w:rPr>
          <w:rFonts w:ascii="Arial" w:hAnsi="Arial" w:cs="Arial"/>
          <w:color w:val="000000"/>
          <w:sz w:val="22"/>
          <w:szCs w:val="22"/>
        </w:rPr>
        <w:t>El Decreto Nacional 4791 de 2008</w:t>
      </w:r>
      <w:r w:rsidRPr="00A03456">
        <w:rPr>
          <w:rFonts w:ascii="Arial" w:hAnsi="Arial" w:cs="Arial"/>
          <w:sz w:val="22"/>
          <w:szCs w:val="22"/>
        </w:rPr>
        <w:t>, compilado en el Decreto 1075 de 2015</w:t>
      </w:r>
      <w:r w:rsidRPr="00A03456">
        <w:rPr>
          <w:rFonts w:ascii="Arial" w:hAnsi="Arial" w:cs="Arial"/>
          <w:color w:val="000000"/>
          <w:sz w:val="22"/>
          <w:szCs w:val="22"/>
        </w:rPr>
        <w:t>, reglamentó parcialmente los artículos 11 al 14 de la Ley 715 de 2001, en relación con el Fondo de Servicios Educativos de las instituciones educativas estatales.</w:t>
      </w:r>
    </w:p>
    <w:p w14:paraId="6247B2C6" w14:textId="77777777" w:rsidR="000E1029" w:rsidRPr="00A03456" w:rsidRDefault="000E1029" w:rsidP="000E1029">
      <w:pPr>
        <w:pStyle w:val="Prrafodelista"/>
        <w:ind w:left="0"/>
        <w:rPr>
          <w:rFonts w:ascii="Arial" w:hAnsi="Arial" w:cs="Arial"/>
          <w:color w:val="000000"/>
          <w:sz w:val="22"/>
          <w:szCs w:val="22"/>
        </w:rPr>
      </w:pPr>
    </w:p>
    <w:p w14:paraId="73A236BC" w14:textId="77777777" w:rsidR="000E1029" w:rsidRPr="00A03456" w:rsidRDefault="000E1029" w:rsidP="000E1029">
      <w:pPr>
        <w:autoSpaceDE w:val="0"/>
        <w:autoSpaceDN w:val="0"/>
        <w:adjustRightInd w:val="0"/>
        <w:jc w:val="both"/>
        <w:rPr>
          <w:rFonts w:ascii="Arial" w:hAnsi="Arial" w:cs="Arial"/>
        </w:rPr>
      </w:pPr>
      <w:r w:rsidRPr="00A03456">
        <w:rPr>
          <w:rFonts w:ascii="Arial" w:hAnsi="Arial" w:cs="Arial"/>
        </w:rPr>
        <w:t xml:space="preserve">La Resolución Nacional 2823 del 9 de diciembre de 2002, otorga la certificación al Municipio de Medellín, por haber cumplido los requisitos para asumir la prestación del servicio educativo, de acuerdo con lo establecido en el artículo 20 de la Ley 715 del 2001. </w:t>
      </w:r>
    </w:p>
    <w:p w14:paraId="311ABE36" w14:textId="77777777" w:rsidR="000E1029" w:rsidRPr="00A03456" w:rsidRDefault="000E1029" w:rsidP="000E1029">
      <w:pPr>
        <w:autoSpaceDE w:val="0"/>
        <w:autoSpaceDN w:val="0"/>
        <w:adjustRightInd w:val="0"/>
        <w:jc w:val="both"/>
        <w:rPr>
          <w:rFonts w:ascii="Arial" w:hAnsi="Arial" w:cs="Arial"/>
        </w:rPr>
      </w:pPr>
    </w:p>
    <w:p w14:paraId="69FFF774" w14:textId="77777777" w:rsidR="000E1029" w:rsidRPr="00A03456" w:rsidRDefault="000E1029" w:rsidP="000E1029">
      <w:pPr>
        <w:autoSpaceDE w:val="0"/>
        <w:autoSpaceDN w:val="0"/>
        <w:adjustRightInd w:val="0"/>
        <w:jc w:val="both"/>
        <w:rPr>
          <w:rFonts w:ascii="Arial" w:hAnsi="Arial" w:cs="Arial"/>
        </w:rPr>
      </w:pPr>
      <w:r w:rsidRPr="00A03456">
        <w:rPr>
          <w:rFonts w:ascii="Arial" w:hAnsi="Arial" w:cs="Arial"/>
        </w:rPr>
        <w:t>El artículo 20 y siguientes del Decreto Municipal 863 de 2020, adecúan la estructura de la administración del hoy Distrito de Ciencia, Tecnología e Innovación de Medellín.</w:t>
      </w:r>
    </w:p>
    <w:p w14:paraId="1BC5152E" w14:textId="77777777" w:rsidR="000E1029" w:rsidRPr="00A03456" w:rsidRDefault="000E1029" w:rsidP="000E1029">
      <w:pPr>
        <w:autoSpaceDE w:val="0"/>
        <w:autoSpaceDN w:val="0"/>
        <w:adjustRightInd w:val="0"/>
        <w:jc w:val="both"/>
        <w:rPr>
          <w:rFonts w:ascii="Arial" w:hAnsi="Arial" w:cs="Arial"/>
        </w:rPr>
      </w:pPr>
    </w:p>
    <w:p w14:paraId="72CA38BC" w14:textId="43448DA5" w:rsidR="000E1029" w:rsidRPr="00A03456" w:rsidRDefault="00CD0B68" w:rsidP="000E1029">
      <w:pPr>
        <w:autoSpaceDE w:val="0"/>
        <w:autoSpaceDN w:val="0"/>
        <w:adjustRightInd w:val="0"/>
        <w:jc w:val="both"/>
        <w:rPr>
          <w:rFonts w:ascii="Arial" w:hAnsi="Arial" w:cs="Arial"/>
        </w:rPr>
      </w:pPr>
      <w:r w:rsidRPr="00A03456">
        <w:rPr>
          <w:rFonts w:ascii="Arial" w:hAnsi="Arial" w:cs="Arial"/>
          <w:b/>
        </w:rPr>
        <w:t xml:space="preserve">La </w:t>
      </w:r>
      <w:r w:rsidRPr="00A03456">
        <w:rPr>
          <w:rFonts w:ascii="Arial" w:hAnsi="Arial" w:cs="Arial"/>
          <w:b/>
          <w:lang w:val="es-MX"/>
        </w:rPr>
        <w:t xml:space="preserve">Resolución Municipal </w:t>
      </w:r>
      <w:r w:rsidR="007A0FA0" w:rsidRPr="00A03456">
        <w:rPr>
          <w:rFonts w:ascii="Arial" w:hAnsi="Arial" w:cs="Arial"/>
          <w:b/>
          <w:bCs/>
          <w:lang w:val="es-MX" w:eastAsia="en-US"/>
        </w:rPr>
        <w:t>202550098006</w:t>
      </w:r>
      <w:r w:rsidR="007A0FA0" w:rsidRPr="00A03456">
        <w:rPr>
          <w:rFonts w:ascii="Arial" w:hAnsi="Arial" w:cs="Arial"/>
          <w:b/>
          <w:lang w:val="es-MX"/>
        </w:rPr>
        <w:t xml:space="preserve"> del 01 de diciembre de 2025</w:t>
      </w:r>
      <w:r w:rsidR="007A0FA0" w:rsidRPr="00A03456">
        <w:rPr>
          <w:rFonts w:ascii="Arial" w:hAnsi="Arial" w:cs="Arial"/>
          <w:lang w:val="es-MX"/>
        </w:rPr>
        <w:t xml:space="preserve"> </w:t>
      </w:r>
      <w:r w:rsidRPr="00A03456">
        <w:rPr>
          <w:rFonts w:ascii="Arial" w:hAnsi="Arial" w:cs="Arial"/>
          <w:lang w:val="es-MX"/>
        </w:rPr>
        <w:t>del</w:t>
      </w:r>
      <w:r w:rsidR="009B467D" w:rsidRPr="00A03456">
        <w:rPr>
          <w:rFonts w:ascii="Arial" w:hAnsi="Arial" w:cs="Arial"/>
          <w:lang w:val="es-MX"/>
        </w:rPr>
        <w:t xml:space="preserve"> Distrito de la Ciencia, tecnología e Innovación de Medellín</w:t>
      </w:r>
      <w:r w:rsidR="009B467D" w:rsidRPr="00A03456">
        <w:rPr>
          <w:rFonts w:ascii="Arial" w:hAnsi="Arial" w:cs="Arial"/>
        </w:rPr>
        <w:t xml:space="preserve">, </w:t>
      </w:r>
      <w:r w:rsidR="000E1029" w:rsidRPr="00A03456">
        <w:rPr>
          <w:rFonts w:ascii="Arial" w:hAnsi="Arial" w:cs="Arial"/>
        </w:rPr>
        <w:t>reguló el proceso de adopción de tarifas educativas por concepto de derechos académicos y servicios complementarios en las Instituciones Educativas Oficiales y en las Instituciones con las que se realiza la contratación del servicio ed</w:t>
      </w:r>
      <w:r w:rsidR="007A0FA0" w:rsidRPr="00A03456">
        <w:rPr>
          <w:rFonts w:ascii="Arial" w:hAnsi="Arial" w:cs="Arial"/>
        </w:rPr>
        <w:t>ucativo para el año lectivo 2026</w:t>
      </w:r>
      <w:r w:rsidR="000E1029" w:rsidRPr="00A03456">
        <w:rPr>
          <w:rFonts w:ascii="Arial" w:hAnsi="Arial" w:cs="Arial"/>
        </w:rPr>
        <w:t>.</w:t>
      </w:r>
    </w:p>
    <w:p w14:paraId="52EF78E2" w14:textId="77777777" w:rsidR="000E1029" w:rsidRPr="00A03456" w:rsidRDefault="000E1029" w:rsidP="000E1029">
      <w:pPr>
        <w:autoSpaceDE w:val="0"/>
        <w:autoSpaceDN w:val="0"/>
        <w:adjustRightInd w:val="0"/>
        <w:jc w:val="both"/>
        <w:rPr>
          <w:rFonts w:ascii="Arial" w:hAnsi="Arial" w:cs="Arial"/>
        </w:rPr>
      </w:pPr>
    </w:p>
    <w:p w14:paraId="47FD6838" w14:textId="7530FBAF" w:rsidR="000E1029" w:rsidRPr="00A03456" w:rsidRDefault="000E1029" w:rsidP="000E1029">
      <w:pPr>
        <w:autoSpaceDE w:val="0"/>
        <w:autoSpaceDN w:val="0"/>
        <w:adjustRightInd w:val="0"/>
        <w:jc w:val="both"/>
        <w:rPr>
          <w:rFonts w:ascii="Arial" w:hAnsi="Arial" w:cs="Arial"/>
        </w:rPr>
      </w:pPr>
      <w:r w:rsidRPr="00A03456">
        <w:rPr>
          <w:rFonts w:ascii="Arial" w:hAnsi="Arial" w:cs="Arial"/>
        </w:rPr>
        <w:t>En mérito de lo expuesto</w:t>
      </w:r>
    </w:p>
    <w:p w14:paraId="2DAE079F" w14:textId="3C982352" w:rsidR="001D0565" w:rsidRPr="00A03456" w:rsidRDefault="001D0565" w:rsidP="000E1029">
      <w:pPr>
        <w:autoSpaceDE w:val="0"/>
        <w:autoSpaceDN w:val="0"/>
        <w:adjustRightInd w:val="0"/>
        <w:jc w:val="both"/>
        <w:rPr>
          <w:rFonts w:ascii="Arial" w:hAnsi="Arial" w:cs="Arial"/>
          <w:i/>
        </w:rPr>
      </w:pPr>
    </w:p>
    <w:p w14:paraId="5F93F852" w14:textId="77777777" w:rsidR="000E1029" w:rsidRPr="00A03456" w:rsidRDefault="000E1029" w:rsidP="000E1029">
      <w:pPr>
        <w:jc w:val="center"/>
        <w:rPr>
          <w:rFonts w:ascii="Arial" w:hAnsi="Arial" w:cs="Arial"/>
          <w:b/>
          <w:lang w:val="es-MX"/>
        </w:rPr>
      </w:pPr>
      <w:r w:rsidRPr="00A03456">
        <w:rPr>
          <w:rFonts w:ascii="Arial" w:hAnsi="Arial" w:cs="Arial"/>
          <w:b/>
          <w:lang w:val="es-MX"/>
        </w:rPr>
        <w:t>RESUELVE</w:t>
      </w:r>
    </w:p>
    <w:p w14:paraId="4AAA42AC" w14:textId="77777777" w:rsidR="000E1029" w:rsidRPr="00A03456" w:rsidRDefault="000E1029" w:rsidP="000E1029">
      <w:pPr>
        <w:rPr>
          <w:rFonts w:ascii="Arial" w:hAnsi="Arial" w:cs="Arial"/>
          <w:b/>
          <w:lang w:val="es-MX"/>
        </w:rPr>
      </w:pPr>
    </w:p>
    <w:p w14:paraId="00CC9502" w14:textId="77777777" w:rsidR="000E1029" w:rsidRPr="00A03456" w:rsidRDefault="000E1029" w:rsidP="000E1029">
      <w:pPr>
        <w:jc w:val="center"/>
        <w:rPr>
          <w:rFonts w:ascii="Arial" w:hAnsi="Arial" w:cs="Arial"/>
          <w:b/>
          <w:lang w:val="es-MX"/>
        </w:rPr>
      </w:pPr>
    </w:p>
    <w:p w14:paraId="437D1D02" w14:textId="440A9C36" w:rsidR="000E1029" w:rsidRPr="00A03456" w:rsidRDefault="000E1029" w:rsidP="000E1029">
      <w:pPr>
        <w:spacing w:after="120"/>
        <w:jc w:val="both"/>
        <w:rPr>
          <w:rFonts w:ascii="Arial" w:hAnsi="Arial" w:cs="Arial"/>
          <w:lang w:val="es-MX"/>
        </w:rPr>
      </w:pPr>
      <w:r w:rsidRPr="00A03456">
        <w:rPr>
          <w:rFonts w:ascii="Arial" w:hAnsi="Arial" w:cs="Arial"/>
          <w:b/>
          <w:lang w:val="es-MX"/>
        </w:rPr>
        <w:t xml:space="preserve">ARTÍCULO PRIMERO. </w:t>
      </w:r>
      <w:r w:rsidRPr="00A03456">
        <w:rPr>
          <w:rFonts w:ascii="Arial" w:hAnsi="Arial" w:cs="Arial"/>
        </w:rPr>
        <w:t>Garantizar la gratuidad en el sector oficial educativo del Distrito de Ciencia, Tecnología e Innovación de Medellín, en tal virtud, tanto las instituciones educativas y centros educativos oficiales, como los establecimientos educativos con las que se realiza la contratación del servicio público educativo en el Distrito de Me</w:t>
      </w:r>
      <w:r w:rsidR="007A0FA0" w:rsidRPr="00A03456">
        <w:rPr>
          <w:rFonts w:ascii="Arial" w:hAnsi="Arial" w:cs="Arial"/>
        </w:rPr>
        <w:t>dellín, para el año lectivo 2026</w:t>
      </w:r>
      <w:r w:rsidRPr="00A03456">
        <w:rPr>
          <w:rFonts w:ascii="Arial" w:hAnsi="Arial" w:cs="Arial"/>
        </w:rPr>
        <w:t>, no realizaran cobro alguno por derechos académicos y servicios complementarios, o por alguno de los componentes de la canasta educativa ofrecida, o cualquier otro concepto similar.</w:t>
      </w:r>
    </w:p>
    <w:p w14:paraId="31CEA0CF" w14:textId="77777777" w:rsidR="000E1029" w:rsidRPr="00A03456" w:rsidRDefault="000E1029" w:rsidP="000E1029">
      <w:pPr>
        <w:spacing w:after="120"/>
        <w:jc w:val="both"/>
        <w:rPr>
          <w:rFonts w:ascii="Arial" w:hAnsi="Arial" w:cs="Arial"/>
          <w:lang w:val="es-MX"/>
        </w:rPr>
      </w:pPr>
    </w:p>
    <w:p w14:paraId="5EFBE44A" w14:textId="2CB189C7" w:rsidR="000E1029" w:rsidRPr="00A03456" w:rsidRDefault="000E1029" w:rsidP="000E1029">
      <w:pPr>
        <w:spacing w:after="120"/>
        <w:jc w:val="both"/>
        <w:rPr>
          <w:rFonts w:ascii="Arial" w:hAnsi="Arial" w:cs="Arial"/>
          <w:lang w:val="es-MX"/>
        </w:rPr>
      </w:pPr>
      <w:r w:rsidRPr="00A03456">
        <w:rPr>
          <w:rFonts w:ascii="Arial" w:hAnsi="Arial" w:cs="Arial"/>
          <w:b/>
        </w:rPr>
        <w:t>ARTÍCULO SEGUNDO</w:t>
      </w:r>
      <w:r w:rsidRPr="00A03456">
        <w:rPr>
          <w:rFonts w:ascii="Arial" w:hAnsi="Arial" w:cs="Arial"/>
          <w:lang w:val="es-MX"/>
        </w:rPr>
        <w:t xml:space="preserve"> Comunicar las tarifas anuales adoptadas por concepto de derechos académicos para la prestación del servicio educativo en el año lectivo 202</w:t>
      </w:r>
      <w:r w:rsidR="004738CB" w:rsidRPr="00A03456">
        <w:rPr>
          <w:rFonts w:ascii="Arial" w:hAnsi="Arial" w:cs="Arial"/>
          <w:lang w:val="es-MX"/>
        </w:rPr>
        <w:t>6</w:t>
      </w:r>
      <w:r w:rsidRPr="00A03456">
        <w:rPr>
          <w:rFonts w:ascii="Arial" w:hAnsi="Arial" w:cs="Arial"/>
          <w:lang w:val="es-MX"/>
        </w:rPr>
        <w:t>; según se detalla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071"/>
      </w:tblGrid>
      <w:tr w:rsidR="000E1029" w:rsidRPr="00A03456" w14:paraId="242B2E69" w14:textId="77777777" w:rsidTr="000E1029">
        <w:trPr>
          <w:trHeight w:val="346"/>
          <w:jc w:val="center"/>
        </w:trPr>
        <w:tc>
          <w:tcPr>
            <w:tcW w:w="4878" w:type="dxa"/>
            <w:shd w:val="pct5" w:color="auto" w:fill="auto"/>
            <w:vAlign w:val="center"/>
          </w:tcPr>
          <w:p w14:paraId="0071C27A" w14:textId="77777777" w:rsidR="000E1029" w:rsidRPr="00A03456" w:rsidRDefault="000E1029" w:rsidP="000E1029">
            <w:pPr>
              <w:spacing w:after="120"/>
              <w:jc w:val="center"/>
              <w:rPr>
                <w:rFonts w:ascii="Arial" w:hAnsi="Arial" w:cs="Arial"/>
                <w:b/>
                <w:lang w:val="es-MX"/>
              </w:rPr>
            </w:pPr>
            <w:r w:rsidRPr="00A03456">
              <w:rPr>
                <w:rFonts w:ascii="Arial" w:hAnsi="Arial" w:cs="Arial"/>
                <w:b/>
                <w:lang w:val="es-MX"/>
              </w:rPr>
              <w:t>Niveles</w:t>
            </w:r>
          </w:p>
        </w:tc>
        <w:tc>
          <w:tcPr>
            <w:tcW w:w="4399" w:type="dxa"/>
            <w:shd w:val="pct5" w:color="auto" w:fill="auto"/>
            <w:vAlign w:val="center"/>
          </w:tcPr>
          <w:p w14:paraId="273E82C3" w14:textId="77777777" w:rsidR="000E1029" w:rsidRPr="00A03456" w:rsidRDefault="000E1029" w:rsidP="000E1029">
            <w:pPr>
              <w:spacing w:after="120"/>
              <w:jc w:val="center"/>
              <w:rPr>
                <w:rFonts w:ascii="Arial" w:hAnsi="Arial" w:cs="Arial"/>
                <w:b/>
                <w:lang w:val="es-MX"/>
              </w:rPr>
            </w:pPr>
            <w:r w:rsidRPr="00A03456">
              <w:rPr>
                <w:rFonts w:ascii="Arial" w:hAnsi="Arial" w:cs="Arial"/>
                <w:b/>
                <w:lang w:val="es-MX"/>
              </w:rPr>
              <w:t>Tarifas</w:t>
            </w:r>
          </w:p>
        </w:tc>
      </w:tr>
      <w:tr w:rsidR="000E1029" w:rsidRPr="00A03456" w14:paraId="2521974D" w14:textId="77777777" w:rsidTr="000E1029">
        <w:trPr>
          <w:trHeight w:val="247"/>
          <w:jc w:val="center"/>
        </w:trPr>
        <w:tc>
          <w:tcPr>
            <w:tcW w:w="4878" w:type="dxa"/>
            <w:vAlign w:val="center"/>
          </w:tcPr>
          <w:p w14:paraId="27A040A2" w14:textId="77777777" w:rsidR="000E1029" w:rsidRPr="00A03456" w:rsidRDefault="000E1029" w:rsidP="000E1029">
            <w:pPr>
              <w:numPr>
                <w:ilvl w:val="0"/>
                <w:numId w:val="1"/>
              </w:numPr>
              <w:ind w:left="357" w:hanging="357"/>
              <w:contextualSpacing/>
              <w:rPr>
                <w:rFonts w:ascii="Arial" w:hAnsi="Arial" w:cs="Arial"/>
                <w:lang w:val="es-MX"/>
              </w:rPr>
            </w:pPr>
            <w:r w:rsidRPr="00A03456">
              <w:rPr>
                <w:rFonts w:ascii="Arial" w:hAnsi="Arial" w:cs="Arial"/>
                <w:lang w:val="es-MX"/>
              </w:rPr>
              <w:t>Preescolar  y básica primaria</w:t>
            </w:r>
          </w:p>
        </w:tc>
        <w:tc>
          <w:tcPr>
            <w:tcW w:w="4399" w:type="dxa"/>
            <w:vMerge w:val="restart"/>
            <w:vAlign w:val="center"/>
          </w:tcPr>
          <w:p w14:paraId="49DC57D0" w14:textId="77777777" w:rsidR="000E1029" w:rsidRPr="00A03456" w:rsidRDefault="000E1029" w:rsidP="000E1029">
            <w:pPr>
              <w:contextualSpacing/>
              <w:rPr>
                <w:rFonts w:ascii="Arial" w:hAnsi="Arial" w:cs="Arial"/>
                <w:lang w:val="es-MX"/>
              </w:rPr>
            </w:pPr>
            <w:r w:rsidRPr="00A03456">
              <w:rPr>
                <w:rFonts w:ascii="Arial" w:hAnsi="Arial" w:cs="Arial"/>
                <w:lang w:val="es-MX"/>
              </w:rPr>
              <w:t>Exentos de pago</w:t>
            </w:r>
          </w:p>
        </w:tc>
      </w:tr>
      <w:tr w:rsidR="000E1029" w:rsidRPr="00A03456" w14:paraId="562F9008" w14:textId="77777777" w:rsidTr="000E1029">
        <w:trPr>
          <w:trHeight w:val="234"/>
          <w:jc w:val="center"/>
        </w:trPr>
        <w:tc>
          <w:tcPr>
            <w:tcW w:w="4878" w:type="dxa"/>
            <w:vAlign w:val="center"/>
          </w:tcPr>
          <w:p w14:paraId="14B620C5" w14:textId="77777777" w:rsidR="000E1029" w:rsidRPr="00A03456" w:rsidRDefault="000E1029" w:rsidP="000E1029">
            <w:pPr>
              <w:numPr>
                <w:ilvl w:val="0"/>
                <w:numId w:val="1"/>
              </w:numPr>
              <w:ind w:left="357" w:hanging="357"/>
              <w:rPr>
                <w:rFonts w:ascii="Arial" w:hAnsi="Arial" w:cs="Arial"/>
                <w:lang w:val="es-MX"/>
              </w:rPr>
            </w:pPr>
            <w:r w:rsidRPr="00A03456">
              <w:rPr>
                <w:rFonts w:ascii="Arial" w:hAnsi="Arial" w:cs="Arial"/>
                <w:lang w:val="es-MX"/>
              </w:rPr>
              <w:t>Básica secundaria</w:t>
            </w:r>
          </w:p>
        </w:tc>
        <w:tc>
          <w:tcPr>
            <w:tcW w:w="4399" w:type="dxa"/>
            <w:vMerge/>
          </w:tcPr>
          <w:p w14:paraId="2A13D718" w14:textId="77777777" w:rsidR="000E1029" w:rsidRPr="00A03456" w:rsidRDefault="000E1029" w:rsidP="000E1029">
            <w:pPr>
              <w:ind w:left="357" w:hanging="357"/>
              <w:rPr>
                <w:rFonts w:ascii="Arial" w:hAnsi="Arial" w:cs="Arial"/>
              </w:rPr>
            </w:pPr>
          </w:p>
        </w:tc>
      </w:tr>
      <w:tr w:rsidR="000E1029" w:rsidRPr="00A03456" w14:paraId="79660E3B" w14:textId="77777777" w:rsidTr="000E1029">
        <w:trPr>
          <w:trHeight w:val="234"/>
          <w:jc w:val="center"/>
        </w:trPr>
        <w:tc>
          <w:tcPr>
            <w:tcW w:w="4878" w:type="dxa"/>
            <w:vAlign w:val="center"/>
          </w:tcPr>
          <w:p w14:paraId="79B5545A" w14:textId="77777777" w:rsidR="000E1029" w:rsidRPr="00A03456" w:rsidRDefault="000E1029" w:rsidP="000E1029">
            <w:pPr>
              <w:numPr>
                <w:ilvl w:val="0"/>
                <w:numId w:val="1"/>
              </w:numPr>
              <w:ind w:left="357" w:hanging="357"/>
              <w:rPr>
                <w:rFonts w:ascii="Arial" w:hAnsi="Arial" w:cs="Arial"/>
                <w:lang w:val="es-MX"/>
              </w:rPr>
            </w:pPr>
            <w:r w:rsidRPr="00A03456">
              <w:rPr>
                <w:rFonts w:ascii="Arial" w:hAnsi="Arial" w:cs="Arial"/>
                <w:lang w:val="es-MX"/>
              </w:rPr>
              <w:t>Media académica</w:t>
            </w:r>
          </w:p>
        </w:tc>
        <w:tc>
          <w:tcPr>
            <w:tcW w:w="4399" w:type="dxa"/>
            <w:vMerge/>
          </w:tcPr>
          <w:p w14:paraId="3C71EB8B" w14:textId="77777777" w:rsidR="000E1029" w:rsidRPr="00A03456" w:rsidRDefault="000E1029" w:rsidP="000E1029">
            <w:pPr>
              <w:ind w:left="357" w:hanging="357"/>
              <w:rPr>
                <w:rFonts w:ascii="Arial" w:hAnsi="Arial" w:cs="Arial"/>
              </w:rPr>
            </w:pPr>
          </w:p>
        </w:tc>
      </w:tr>
      <w:tr w:rsidR="000E1029" w:rsidRPr="00A03456" w14:paraId="1D123075" w14:textId="77777777" w:rsidTr="000E1029">
        <w:trPr>
          <w:trHeight w:val="234"/>
          <w:jc w:val="center"/>
        </w:trPr>
        <w:tc>
          <w:tcPr>
            <w:tcW w:w="4878" w:type="dxa"/>
            <w:vAlign w:val="center"/>
          </w:tcPr>
          <w:p w14:paraId="5B3CEC5C" w14:textId="77777777" w:rsidR="000E1029" w:rsidRPr="00A03456" w:rsidRDefault="000E1029" w:rsidP="000E1029">
            <w:pPr>
              <w:numPr>
                <w:ilvl w:val="0"/>
                <w:numId w:val="1"/>
              </w:numPr>
              <w:ind w:left="357" w:hanging="357"/>
              <w:rPr>
                <w:rFonts w:ascii="Arial" w:hAnsi="Arial" w:cs="Arial"/>
                <w:lang w:val="es-MX"/>
              </w:rPr>
            </w:pPr>
            <w:r w:rsidRPr="00A03456">
              <w:rPr>
                <w:rFonts w:ascii="Arial" w:hAnsi="Arial" w:cs="Arial"/>
                <w:lang w:val="es-MX"/>
              </w:rPr>
              <w:t>Media técnica</w:t>
            </w:r>
          </w:p>
        </w:tc>
        <w:tc>
          <w:tcPr>
            <w:tcW w:w="4399" w:type="dxa"/>
            <w:vMerge/>
          </w:tcPr>
          <w:p w14:paraId="4B447A3C" w14:textId="77777777" w:rsidR="000E1029" w:rsidRPr="00A03456" w:rsidRDefault="000E1029" w:rsidP="000E1029">
            <w:pPr>
              <w:ind w:left="357" w:hanging="357"/>
              <w:rPr>
                <w:rFonts w:ascii="Arial" w:hAnsi="Arial" w:cs="Arial"/>
              </w:rPr>
            </w:pPr>
          </w:p>
        </w:tc>
      </w:tr>
      <w:tr w:rsidR="000E1029" w:rsidRPr="00A03456" w14:paraId="3988E63C" w14:textId="77777777" w:rsidTr="000E1029">
        <w:trPr>
          <w:trHeight w:val="247"/>
          <w:jc w:val="center"/>
        </w:trPr>
        <w:tc>
          <w:tcPr>
            <w:tcW w:w="4878" w:type="dxa"/>
            <w:vAlign w:val="center"/>
          </w:tcPr>
          <w:p w14:paraId="5DD9B81E" w14:textId="77777777" w:rsidR="000E1029" w:rsidRPr="00A03456" w:rsidRDefault="000E1029" w:rsidP="000E1029">
            <w:pPr>
              <w:numPr>
                <w:ilvl w:val="0"/>
                <w:numId w:val="1"/>
              </w:numPr>
              <w:ind w:left="357" w:hanging="357"/>
              <w:rPr>
                <w:rFonts w:ascii="Arial" w:hAnsi="Arial" w:cs="Arial"/>
                <w:lang w:val="es-MX"/>
              </w:rPr>
            </w:pPr>
            <w:r w:rsidRPr="00A03456">
              <w:rPr>
                <w:rFonts w:ascii="Arial" w:hAnsi="Arial" w:cs="Arial"/>
                <w:lang w:val="es-MX"/>
              </w:rPr>
              <w:lastRenderedPageBreak/>
              <w:t>Ciclos lectivos Integrados (CLEI) 1 y 2</w:t>
            </w:r>
          </w:p>
        </w:tc>
        <w:tc>
          <w:tcPr>
            <w:tcW w:w="4399" w:type="dxa"/>
            <w:vMerge/>
            <w:vAlign w:val="center"/>
          </w:tcPr>
          <w:p w14:paraId="047938E9" w14:textId="77777777" w:rsidR="000E1029" w:rsidRPr="00A03456" w:rsidRDefault="000E1029" w:rsidP="000E1029">
            <w:pPr>
              <w:ind w:left="357" w:hanging="357"/>
              <w:rPr>
                <w:rFonts w:ascii="Arial" w:hAnsi="Arial" w:cs="Arial"/>
                <w:lang w:val="es-MX"/>
              </w:rPr>
            </w:pPr>
          </w:p>
        </w:tc>
      </w:tr>
      <w:tr w:rsidR="000E1029" w:rsidRPr="00A03456" w14:paraId="0A7CD739" w14:textId="77777777" w:rsidTr="000E1029">
        <w:trPr>
          <w:trHeight w:val="259"/>
          <w:jc w:val="center"/>
        </w:trPr>
        <w:tc>
          <w:tcPr>
            <w:tcW w:w="4878" w:type="dxa"/>
            <w:vAlign w:val="center"/>
          </w:tcPr>
          <w:p w14:paraId="53F5705A" w14:textId="77777777" w:rsidR="000E1029" w:rsidRPr="00A03456" w:rsidRDefault="000E1029" w:rsidP="000E1029">
            <w:pPr>
              <w:numPr>
                <w:ilvl w:val="0"/>
                <w:numId w:val="1"/>
              </w:numPr>
              <w:ind w:left="357" w:hanging="357"/>
              <w:rPr>
                <w:rFonts w:ascii="Arial" w:hAnsi="Arial" w:cs="Arial"/>
                <w:lang w:val="es-MX"/>
              </w:rPr>
            </w:pPr>
            <w:r w:rsidRPr="00A03456">
              <w:rPr>
                <w:rFonts w:ascii="Arial" w:hAnsi="Arial" w:cs="Arial"/>
                <w:lang w:val="es-MX"/>
              </w:rPr>
              <w:lastRenderedPageBreak/>
              <w:t>Ciclos Lectivos Integrados (CLEI) 3, 4, 5 y 6</w:t>
            </w:r>
          </w:p>
        </w:tc>
        <w:tc>
          <w:tcPr>
            <w:tcW w:w="4399" w:type="dxa"/>
            <w:vAlign w:val="center"/>
          </w:tcPr>
          <w:p w14:paraId="09E3FD66" w14:textId="24D02909" w:rsidR="00903B6B" w:rsidRPr="00A03456" w:rsidRDefault="00903B6B" w:rsidP="00903B6B">
            <w:pPr>
              <w:rPr>
                <w:rFonts w:ascii="Arial" w:hAnsi="Arial" w:cs="Arial"/>
                <w:lang w:val="es-MX"/>
              </w:rPr>
            </w:pPr>
          </w:p>
        </w:tc>
      </w:tr>
    </w:tbl>
    <w:p w14:paraId="0E015377" w14:textId="6960E79A" w:rsidR="00903B6B" w:rsidRPr="00A03456" w:rsidRDefault="00903B6B" w:rsidP="000E1029">
      <w:pPr>
        <w:jc w:val="both"/>
        <w:rPr>
          <w:rFonts w:ascii="Arial" w:hAnsi="Arial" w:cs="Arial"/>
          <w:u w:val="single"/>
        </w:rPr>
      </w:pPr>
    </w:p>
    <w:p w14:paraId="371820AE" w14:textId="55A52C04" w:rsidR="000E1029" w:rsidRPr="00A03456" w:rsidRDefault="000E1029" w:rsidP="00903B6B">
      <w:pPr>
        <w:jc w:val="both"/>
        <w:rPr>
          <w:rFonts w:ascii="Arial" w:hAnsi="Arial" w:cs="Arial"/>
        </w:rPr>
      </w:pPr>
      <w:r w:rsidRPr="00A03456">
        <w:rPr>
          <w:rFonts w:ascii="Arial" w:hAnsi="Arial" w:cs="Arial"/>
          <w:b/>
          <w:color w:val="000000"/>
        </w:rPr>
        <w:t>PARÁGRAFO PRIMERO</w:t>
      </w:r>
      <w:r w:rsidRPr="00A03456">
        <w:rPr>
          <w:rFonts w:ascii="Arial" w:hAnsi="Arial" w:cs="Arial"/>
          <w:b/>
          <w:lang w:val="es-MX"/>
        </w:rPr>
        <w:t>.</w:t>
      </w:r>
      <w:r w:rsidRPr="00A03456">
        <w:rPr>
          <w:rFonts w:ascii="Arial" w:hAnsi="Arial" w:cs="Arial"/>
          <w:lang w:val="es-MX"/>
        </w:rPr>
        <w:t xml:space="preserve"> </w:t>
      </w:r>
      <w:r w:rsidRPr="00A03456">
        <w:rPr>
          <w:rFonts w:ascii="Arial" w:hAnsi="Arial" w:cs="Arial"/>
        </w:rPr>
        <w:t>En los CLEI 3° y 4°,</w:t>
      </w:r>
      <w:r w:rsidRPr="00A03456">
        <w:rPr>
          <w:rFonts w:ascii="Arial" w:hAnsi="Arial" w:cs="Arial"/>
          <w:color w:val="FF0000"/>
        </w:rPr>
        <w:t xml:space="preserve"> </w:t>
      </w:r>
      <w:r w:rsidRPr="00A03456">
        <w:rPr>
          <w:rFonts w:ascii="Arial" w:hAnsi="Arial" w:cs="Arial"/>
        </w:rPr>
        <w:t>el cobro se efectuará por una sola vez para toda la anualidad de duración del respectivo CLEI, mientras que para los CLEI 5° y 6° el cobro se efectuará para el semestre de duración del respectivo CLEI.</w:t>
      </w:r>
    </w:p>
    <w:p w14:paraId="3C967044" w14:textId="77777777" w:rsidR="00903B6B" w:rsidRPr="00A03456" w:rsidRDefault="00903B6B" w:rsidP="00903B6B">
      <w:pPr>
        <w:jc w:val="both"/>
        <w:rPr>
          <w:rFonts w:ascii="Arial" w:hAnsi="Arial" w:cs="Arial"/>
        </w:rPr>
      </w:pPr>
    </w:p>
    <w:p w14:paraId="33AA7AFE" w14:textId="7615ED22" w:rsidR="000E1029" w:rsidRPr="00A03456" w:rsidRDefault="000E1029" w:rsidP="00CD0B68">
      <w:pPr>
        <w:autoSpaceDE w:val="0"/>
        <w:autoSpaceDN w:val="0"/>
        <w:adjustRightInd w:val="0"/>
        <w:jc w:val="both"/>
        <w:rPr>
          <w:rFonts w:ascii="ArialMT" w:hAnsi="ArialMT" w:cs="ArialMT"/>
          <w:lang w:val="es-MX" w:eastAsia="en-US"/>
        </w:rPr>
      </w:pPr>
      <w:r w:rsidRPr="00A03456">
        <w:rPr>
          <w:rFonts w:ascii="Arial" w:hAnsi="Arial" w:cs="Arial"/>
          <w:b/>
        </w:rPr>
        <w:t>PARÁGRAFO SEGUNDO</w:t>
      </w:r>
      <w:r w:rsidRPr="00A03456">
        <w:rPr>
          <w:rFonts w:ascii="Arial" w:hAnsi="Arial" w:cs="Arial"/>
          <w:color w:val="000000"/>
        </w:rPr>
        <w:t xml:space="preserve">. </w:t>
      </w:r>
      <w:r w:rsidR="00CD0B68" w:rsidRPr="00A03456">
        <w:rPr>
          <w:rFonts w:ascii="Arial" w:hAnsi="Arial" w:cs="Arial"/>
          <w:lang w:val="es-MX" w:eastAsia="en-US"/>
        </w:rPr>
        <w:t>El incremento de las tarifas obedece al índice de inflación del año inmediatamente anterior, en este caso de acuer</w:t>
      </w:r>
      <w:r w:rsidR="00684682" w:rsidRPr="00A03456">
        <w:rPr>
          <w:rFonts w:ascii="Arial" w:hAnsi="Arial" w:cs="Arial"/>
          <w:lang w:val="es-MX" w:eastAsia="en-US"/>
        </w:rPr>
        <w:t>do con el DANE, el IPC para 2024 fue 5,20</w:t>
      </w:r>
      <w:r w:rsidR="00CD0B68" w:rsidRPr="00A03456">
        <w:rPr>
          <w:rFonts w:ascii="Arial" w:hAnsi="Arial" w:cs="Arial"/>
          <w:lang w:val="es-MX" w:eastAsia="en-US"/>
        </w:rPr>
        <w:t>%.</w:t>
      </w:r>
    </w:p>
    <w:p w14:paraId="2E3D3C90" w14:textId="77777777" w:rsidR="000E1029" w:rsidRPr="00A03456" w:rsidRDefault="000E1029" w:rsidP="000E1029">
      <w:pPr>
        <w:pStyle w:val="Sinespaciado"/>
        <w:jc w:val="both"/>
        <w:rPr>
          <w:rFonts w:ascii="Arial" w:hAnsi="Arial" w:cs="Arial"/>
          <w:sz w:val="22"/>
          <w:szCs w:val="22"/>
        </w:rPr>
      </w:pPr>
    </w:p>
    <w:p w14:paraId="7E49356D" w14:textId="7484DE0A" w:rsidR="000E1029" w:rsidRPr="00A03456" w:rsidRDefault="000E1029" w:rsidP="000E1029">
      <w:pPr>
        <w:jc w:val="both"/>
        <w:rPr>
          <w:rFonts w:ascii="Arial" w:hAnsi="Arial" w:cs="Arial"/>
          <w:lang w:val="es-MX"/>
        </w:rPr>
      </w:pPr>
      <w:r w:rsidRPr="00A03456">
        <w:rPr>
          <w:rFonts w:ascii="Arial" w:hAnsi="Arial" w:cs="Arial"/>
          <w:b/>
        </w:rPr>
        <w:t>ARTICULO TERCERO</w:t>
      </w:r>
      <w:r w:rsidRPr="00A03456">
        <w:rPr>
          <w:rFonts w:ascii="Arial" w:hAnsi="Arial" w:cs="Arial"/>
          <w:b/>
          <w:lang w:val="es-MX"/>
        </w:rPr>
        <w:t xml:space="preserve">. </w:t>
      </w:r>
      <w:r w:rsidRPr="00A03456">
        <w:rPr>
          <w:rFonts w:ascii="Arial" w:hAnsi="Arial" w:cs="Arial"/>
          <w:lang w:val="es-MX"/>
        </w:rPr>
        <w:t xml:space="preserve">Comunicar las tarifas adoptadas por concepto de otros </w:t>
      </w:r>
      <w:r w:rsidR="007A0FA0" w:rsidRPr="00A03456">
        <w:rPr>
          <w:rFonts w:ascii="Arial" w:hAnsi="Arial" w:cs="Arial"/>
          <w:lang w:val="es-MX"/>
        </w:rPr>
        <w:t>cobros, para el año lectivo 2026</w:t>
      </w:r>
      <w:r w:rsidRPr="00A03456">
        <w:rPr>
          <w:rFonts w:ascii="Arial" w:hAnsi="Arial" w:cs="Arial"/>
          <w:lang w:val="es-MX"/>
        </w:rPr>
        <w:t xml:space="preserve">, establecidos </w:t>
      </w:r>
      <w:r w:rsidR="00CF6606" w:rsidRPr="00A03456">
        <w:rPr>
          <w:rFonts w:ascii="Arial" w:hAnsi="Arial" w:cs="Arial"/>
          <w:lang w:val="es-MX"/>
        </w:rPr>
        <w:t>en el Ac</w:t>
      </w:r>
      <w:r w:rsidR="00E20CA4" w:rsidRPr="00A03456">
        <w:rPr>
          <w:rFonts w:ascii="Arial" w:hAnsi="Arial" w:cs="Arial"/>
          <w:lang w:val="es-MX"/>
        </w:rPr>
        <w:t>uerdo Directivo No 14 del 03 de</w:t>
      </w:r>
      <w:r w:rsidR="007A0FA0" w:rsidRPr="00A03456">
        <w:rPr>
          <w:rFonts w:ascii="Arial" w:hAnsi="Arial" w:cs="Arial"/>
          <w:lang w:val="es-MX"/>
        </w:rPr>
        <w:t xml:space="preserve"> 2025</w:t>
      </w:r>
      <w:r w:rsidRPr="00A03456">
        <w:rPr>
          <w:rFonts w:ascii="Arial" w:hAnsi="Arial" w:cs="Arial"/>
          <w:lang w:val="es-MX"/>
        </w:rPr>
        <w:t>, que sustenta la presente Resolución Rectoral:</w:t>
      </w:r>
    </w:p>
    <w:p w14:paraId="420F7735" w14:textId="5A96D6DF" w:rsidR="009566FC" w:rsidRPr="00A03456" w:rsidRDefault="009566FC" w:rsidP="000E1029">
      <w:pPr>
        <w:spacing w:after="120"/>
        <w:jc w:val="both"/>
        <w:rPr>
          <w:rFonts w:ascii="Arial" w:hAnsi="Arial" w:cs="Arial"/>
          <w:lang w:val="es-MX"/>
        </w:rPr>
      </w:pPr>
    </w:p>
    <w:tbl>
      <w:tblPr>
        <w:tblW w:w="85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157"/>
      </w:tblGrid>
      <w:tr w:rsidR="000E1029" w:rsidRPr="00A03456" w14:paraId="7D93E32E" w14:textId="77777777" w:rsidTr="00E71367">
        <w:trPr>
          <w:trHeight w:val="83"/>
        </w:trPr>
        <w:tc>
          <w:tcPr>
            <w:tcW w:w="6408" w:type="dxa"/>
            <w:shd w:val="clear" w:color="auto" w:fill="D9D9D9"/>
          </w:tcPr>
          <w:p w14:paraId="1006F176" w14:textId="77777777" w:rsidR="000E1029" w:rsidRPr="00A03456" w:rsidRDefault="000E1029" w:rsidP="000E1029">
            <w:pPr>
              <w:jc w:val="center"/>
              <w:rPr>
                <w:rFonts w:ascii="Arial" w:hAnsi="Arial" w:cs="Arial"/>
                <w:b/>
                <w:lang w:val="es-MX"/>
              </w:rPr>
            </w:pPr>
            <w:r w:rsidRPr="00A03456">
              <w:rPr>
                <w:rFonts w:ascii="Arial" w:hAnsi="Arial" w:cs="Arial"/>
                <w:b/>
                <w:lang w:val="es-MX"/>
              </w:rPr>
              <w:t xml:space="preserve">Concepto de Otros cobros </w:t>
            </w:r>
            <w:r w:rsidRPr="00A03456">
              <w:rPr>
                <w:rFonts w:ascii="Arial" w:hAnsi="Arial" w:cs="Arial"/>
                <w:b/>
              </w:rPr>
              <w:t>a ex alumnos</w:t>
            </w:r>
          </w:p>
        </w:tc>
        <w:tc>
          <w:tcPr>
            <w:tcW w:w="2157" w:type="dxa"/>
            <w:shd w:val="clear" w:color="auto" w:fill="D9D9D9"/>
          </w:tcPr>
          <w:p w14:paraId="7569F975" w14:textId="77777777" w:rsidR="000E1029" w:rsidRPr="00A03456" w:rsidRDefault="000E1029" w:rsidP="000E1029">
            <w:pPr>
              <w:jc w:val="center"/>
              <w:rPr>
                <w:rFonts w:ascii="Arial" w:hAnsi="Arial" w:cs="Arial"/>
                <w:b/>
                <w:lang w:val="es-MX"/>
              </w:rPr>
            </w:pPr>
            <w:r w:rsidRPr="00A03456">
              <w:rPr>
                <w:rFonts w:ascii="Arial" w:hAnsi="Arial" w:cs="Arial"/>
                <w:b/>
                <w:lang w:val="es-MX"/>
              </w:rPr>
              <w:t>Tarifas</w:t>
            </w:r>
          </w:p>
        </w:tc>
      </w:tr>
      <w:tr w:rsidR="000E1029" w:rsidRPr="00A03456" w14:paraId="5F37FA1E" w14:textId="77777777" w:rsidTr="00E71367">
        <w:trPr>
          <w:trHeight w:val="296"/>
        </w:trPr>
        <w:tc>
          <w:tcPr>
            <w:tcW w:w="6408" w:type="dxa"/>
          </w:tcPr>
          <w:p w14:paraId="2D7F4849" w14:textId="77777777" w:rsidR="000E1029" w:rsidRPr="00A03456" w:rsidRDefault="000E1029" w:rsidP="000E1029">
            <w:pPr>
              <w:numPr>
                <w:ilvl w:val="0"/>
                <w:numId w:val="1"/>
              </w:numPr>
              <w:ind w:left="357" w:hanging="357"/>
              <w:rPr>
                <w:rFonts w:ascii="Arial" w:hAnsi="Arial" w:cs="Arial"/>
                <w:lang w:val="es-MX"/>
              </w:rPr>
            </w:pPr>
            <w:r w:rsidRPr="00A03456">
              <w:rPr>
                <w:rFonts w:ascii="Arial" w:hAnsi="Arial" w:cs="Arial"/>
                <w:lang w:val="es-MX"/>
              </w:rPr>
              <w:t>Duplicado de diploma a solicitud del usuario</w:t>
            </w:r>
          </w:p>
        </w:tc>
        <w:tc>
          <w:tcPr>
            <w:tcW w:w="2157" w:type="dxa"/>
          </w:tcPr>
          <w:p w14:paraId="0704D3A4" w14:textId="52916338" w:rsidR="000E1029" w:rsidRPr="00A03456" w:rsidRDefault="000E1029" w:rsidP="000E1029">
            <w:pPr>
              <w:spacing w:before="120"/>
              <w:rPr>
                <w:rFonts w:ascii="Arial" w:hAnsi="Arial" w:cs="Arial"/>
                <w:lang w:val="es-MX"/>
              </w:rPr>
            </w:pPr>
            <w:r w:rsidRPr="00A03456">
              <w:rPr>
                <w:rFonts w:ascii="Arial" w:hAnsi="Arial" w:cs="Arial"/>
                <w:lang w:val="es-MX"/>
              </w:rPr>
              <w:t>Hasta</w:t>
            </w:r>
            <w:r w:rsidR="009B467D" w:rsidRPr="00A03456">
              <w:rPr>
                <w:rFonts w:ascii="Arial" w:hAnsi="Arial" w:cs="Arial"/>
                <w:lang w:val="es-MX"/>
              </w:rPr>
              <w:t xml:space="preserve"> </w:t>
            </w:r>
            <w:r w:rsidRPr="00A03456">
              <w:rPr>
                <w:rFonts w:ascii="Arial" w:hAnsi="Arial" w:cs="Arial"/>
                <w:lang w:val="es-MX"/>
              </w:rPr>
              <w:t>$</w:t>
            </w:r>
            <w:r w:rsidR="00CD0B68" w:rsidRPr="00A03456">
              <w:rPr>
                <w:lang w:val="en-US" w:eastAsia="en-US"/>
              </w:rPr>
              <w:t xml:space="preserve"> </w:t>
            </w:r>
            <w:r w:rsidR="007A0FA0" w:rsidRPr="00A03456">
              <w:rPr>
                <w:rFonts w:ascii="Arial" w:hAnsi="Arial" w:cs="Arial"/>
                <w:lang w:val="en-US" w:eastAsia="en-US"/>
              </w:rPr>
              <w:t>11.155</w:t>
            </w:r>
          </w:p>
        </w:tc>
      </w:tr>
      <w:tr w:rsidR="000E1029" w:rsidRPr="00A03456" w14:paraId="54C84285" w14:textId="77777777" w:rsidTr="00E71367">
        <w:trPr>
          <w:trHeight w:val="293"/>
        </w:trPr>
        <w:tc>
          <w:tcPr>
            <w:tcW w:w="6408" w:type="dxa"/>
          </w:tcPr>
          <w:p w14:paraId="01832BF1" w14:textId="77777777" w:rsidR="000E1029" w:rsidRPr="00A03456" w:rsidRDefault="000E1029" w:rsidP="000E1029">
            <w:pPr>
              <w:numPr>
                <w:ilvl w:val="0"/>
                <w:numId w:val="1"/>
              </w:numPr>
              <w:ind w:left="357" w:hanging="357"/>
              <w:rPr>
                <w:rFonts w:ascii="Arial" w:hAnsi="Arial" w:cs="Arial"/>
                <w:lang w:val="es-MX"/>
              </w:rPr>
            </w:pPr>
            <w:r w:rsidRPr="00A03456">
              <w:rPr>
                <w:rFonts w:ascii="Arial" w:hAnsi="Arial" w:cs="Arial"/>
                <w:lang w:val="es-MX"/>
              </w:rPr>
              <w:t>Copia de acta de grado para egresados</w:t>
            </w:r>
          </w:p>
        </w:tc>
        <w:tc>
          <w:tcPr>
            <w:tcW w:w="2157" w:type="dxa"/>
          </w:tcPr>
          <w:p w14:paraId="20396444" w14:textId="22676BC0" w:rsidR="000E1029" w:rsidRPr="00A03456" w:rsidRDefault="000E1029" w:rsidP="000E1029">
            <w:pPr>
              <w:spacing w:before="120"/>
              <w:rPr>
                <w:rFonts w:ascii="Arial" w:hAnsi="Arial" w:cs="Arial"/>
                <w:lang w:val="es-MX"/>
              </w:rPr>
            </w:pPr>
            <w:r w:rsidRPr="00A03456">
              <w:rPr>
                <w:rFonts w:ascii="Arial" w:hAnsi="Arial" w:cs="Arial"/>
                <w:lang w:val="es-MX"/>
              </w:rPr>
              <w:t>Hasta $</w:t>
            </w:r>
            <w:r w:rsidR="00E71367" w:rsidRPr="00A03456">
              <w:rPr>
                <w:lang w:val="en-US" w:eastAsia="en-US"/>
              </w:rPr>
              <w:t xml:space="preserve"> </w:t>
            </w:r>
            <w:r w:rsidR="007A0FA0" w:rsidRPr="00A03456">
              <w:rPr>
                <w:rFonts w:ascii="Arial" w:hAnsi="Arial" w:cs="Arial"/>
                <w:lang w:val="en-US" w:eastAsia="en-US"/>
              </w:rPr>
              <w:t>6.085</w:t>
            </w:r>
          </w:p>
        </w:tc>
      </w:tr>
      <w:tr w:rsidR="000E1029" w:rsidRPr="00A03456" w14:paraId="463E8EC3" w14:textId="77777777" w:rsidTr="00E71367">
        <w:trPr>
          <w:trHeight w:val="209"/>
        </w:trPr>
        <w:tc>
          <w:tcPr>
            <w:tcW w:w="6408" w:type="dxa"/>
          </w:tcPr>
          <w:p w14:paraId="21ACC80A" w14:textId="77777777" w:rsidR="000E1029" w:rsidRPr="00A03456" w:rsidRDefault="000E1029" w:rsidP="000E1029">
            <w:pPr>
              <w:numPr>
                <w:ilvl w:val="0"/>
                <w:numId w:val="1"/>
              </w:numPr>
              <w:ind w:left="357" w:hanging="357"/>
              <w:rPr>
                <w:rFonts w:ascii="Arial" w:hAnsi="Arial" w:cs="Arial"/>
                <w:lang w:val="es-MX"/>
              </w:rPr>
            </w:pPr>
            <w:r w:rsidRPr="00A03456">
              <w:rPr>
                <w:rFonts w:ascii="Arial" w:hAnsi="Arial" w:cs="Arial"/>
              </w:rPr>
              <w:t>Constancias de desempeño de grados cursados para ex alumnos</w:t>
            </w:r>
          </w:p>
        </w:tc>
        <w:tc>
          <w:tcPr>
            <w:tcW w:w="2157" w:type="dxa"/>
          </w:tcPr>
          <w:p w14:paraId="7C82F003" w14:textId="1D51CD79" w:rsidR="000E1029" w:rsidRPr="00A03456" w:rsidRDefault="000E1029" w:rsidP="000E1029">
            <w:pPr>
              <w:spacing w:before="120"/>
              <w:rPr>
                <w:rFonts w:ascii="Arial" w:hAnsi="Arial" w:cs="Arial"/>
                <w:lang w:val="es-MX"/>
              </w:rPr>
            </w:pPr>
            <w:r w:rsidRPr="00A03456">
              <w:rPr>
                <w:rFonts w:ascii="Arial" w:hAnsi="Arial" w:cs="Arial"/>
                <w:lang w:val="es-MX"/>
              </w:rPr>
              <w:t>H</w:t>
            </w:r>
            <w:r w:rsidR="00AD5413" w:rsidRPr="00A03456">
              <w:rPr>
                <w:rFonts w:ascii="Arial" w:hAnsi="Arial" w:cs="Arial"/>
                <w:lang w:val="es-MX"/>
              </w:rPr>
              <w:t>asta</w:t>
            </w:r>
            <w:r w:rsidR="009B467D" w:rsidRPr="00A03456">
              <w:rPr>
                <w:rFonts w:ascii="Arial" w:hAnsi="Arial" w:cs="Arial"/>
                <w:lang w:val="es-MX"/>
              </w:rPr>
              <w:t xml:space="preserve"> </w:t>
            </w:r>
            <w:r w:rsidRPr="00A03456">
              <w:rPr>
                <w:rFonts w:ascii="Arial" w:hAnsi="Arial" w:cs="Arial"/>
                <w:lang w:val="es-MX"/>
              </w:rPr>
              <w:t>$</w:t>
            </w:r>
            <w:r w:rsidR="00E71367" w:rsidRPr="00A03456">
              <w:rPr>
                <w:lang w:val="en-US" w:eastAsia="en-US"/>
              </w:rPr>
              <w:t xml:space="preserve"> </w:t>
            </w:r>
            <w:r w:rsidR="007A0FA0" w:rsidRPr="00A03456">
              <w:rPr>
                <w:rFonts w:ascii="Arial" w:hAnsi="Arial" w:cs="Arial"/>
                <w:lang w:val="en-US" w:eastAsia="en-US"/>
              </w:rPr>
              <w:t>6.085</w:t>
            </w:r>
          </w:p>
        </w:tc>
      </w:tr>
    </w:tbl>
    <w:p w14:paraId="1E60DD19" w14:textId="77777777" w:rsidR="009566FC" w:rsidRPr="00A03456" w:rsidRDefault="009566FC" w:rsidP="000E1029">
      <w:pPr>
        <w:pStyle w:val="Sinespaciado"/>
        <w:jc w:val="both"/>
        <w:rPr>
          <w:rFonts w:ascii="Arial" w:hAnsi="Arial" w:cs="Arial"/>
          <w:color w:val="000000"/>
          <w:sz w:val="22"/>
          <w:szCs w:val="22"/>
        </w:rPr>
      </w:pPr>
    </w:p>
    <w:p w14:paraId="2499A7F4" w14:textId="77777777" w:rsidR="009566FC" w:rsidRPr="00A03456" w:rsidRDefault="009566FC" w:rsidP="000E1029">
      <w:pPr>
        <w:pStyle w:val="Sinespaciado"/>
        <w:jc w:val="both"/>
        <w:rPr>
          <w:rFonts w:ascii="Arial" w:hAnsi="Arial" w:cs="Arial"/>
          <w:color w:val="000000"/>
          <w:sz w:val="22"/>
          <w:szCs w:val="22"/>
        </w:rPr>
      </w:pPr>
    </w:p>
    <w:p w14:paraId="002BAB98" w14:textId="050ED1F7" w:rsidR="000E1029" w:rsidRPr="00A03456" w:rsidRDefault="000E1029" w:rsidP="000E1029">
      <w:pPr>
        <w:pStyle w:val="Sinespaciado"/>
        <w:jc w:val="both"/>
        <w:rPr>
          <w:rFonts w:ascii="Arial" w:hAnsi="Arial" w:cs="Arial"/>
          <w:color w:val="000000"/>
          <w:sz w:val="22"/>
          <w:szCs w:val="22"/>
        </w:rPr>
      </w:pPr>
      <w:r w:rsidRPr="00A03456">
        <w:rPr>
          <w:rFonts w:ascii="Arial" w:hAnsi="Arial" w:cs="Arial"/>
          <w:color w:val="000000"/>
          <w:sz w:val="22"/>
          <w:szCs w:val="22"/>
        </w:rPr>
        <w:t>Se exceptúa de este cobro a aquellos estudiantes que habiéndose trasladado de establecimiento educativo oficial continúan dentro del sistema educativo.</w:t>
      </w:r>
    </w:p>
    <w:p w14:paraId="26629666" w14:textId="77777777" w:rsidR="000E1029" w:rsidRPr="00A03456" w:rsidRDefault="000E1029" w:rsidP="000E1029">
      <w:pPr>
        <w:pStyle w:val="Sinespaciado"/>
        <w:jc w:val="both"/>
        <w:rPr>
          <w:rFonts w:ascii="Arial" w:hAnsi="Arial" w:cs="Arial"/>
          <w:color w:val="000000"/>
          <w:sz w:val="22"/>
          <w:szCs w:val="22"/>
          <w:lang w:val="es-ES"/>
        </w:rPr>
      </w:pPr>
    </w:p>
    <w:p w14:paraId="2F309907" w14:textId="14E635D2" w:rsidR="000E1029" w:rsidRPr="00A03456" w:rsidRDefault="000E1029" w:rsidP="000E1029">
      <w:pPr>
        <w:jc w:val="both"/>
        <w:rPr>
          <w:rFonts w:ascii="Arial" w:hAnsi="Arial" w:cs="Arial"/>
          <w:u w:val="single"/>
        </w:rPr>
      </w:pPr>
      <w:r w:rsidRPr="00A03456">
        <w:rPr>
          <w:rFonts w:ascii="Arial" w:hAnsi="Arial" w:cs="Arial"/>
        </w:rPr>
        <w:t xml:space="preserve">El pago de los derechos académicos y cobros enunciados en la presente Resolución serán recaudados mediante consignación bancaria en forma independiente, en la cuenta </w:t>
      </w:r>
      <w:r w:rsidR="00E20CA4" w:rsidRPr="00A03456">
        <w:rPr>
          <w:rFonts w:ascii="Arial" w:hAnsi="Arial" w:cs="Arial"/>
        </w:rPr>
        <w:t xml:space="preserve">de ahorros institucional </w:t>
      </w:r>
      <w:r w:rsidR="00E20CA4" w:rsidRPr="00A03456">
        <w:rPr>
          <w:rFonts w:ascii="Arial" w:hAnsi="Arial" w:cs="Arial"/>
          <w:b/>
        </w:rPr>
        <w:t xml:space="preserve">No </w:t>
      </w:r>
      <w:r w:rsidR="00E20CA4" w:rsidRPr="00A03456">
        <w:rPr>
          <w:rFonts w:ascii="Arial" w:hAnsi="Arial" w:cs="Arial"/>
          <w:b/>
          <w:bCs/>
          <w:lang w:val="es-MX"/>
        </w:rPr>
        <w:t>24029704626</w:t>
      </w:r>
      <w:r w:rsidR="00C7342E" w:rsidRPr="00A03456">
        <w:rPr>
          <w:rFonts w:ascii="Arial" w:hAnsi="Arial" w:cs="Arial"/>
          <w:b/>
        </w:rPr>
        <w:t xml:space="preserve"> </w:t>
      </w:r>
      <w:r w:rsidRPr="00A03456">
        <w:rPr>
          <w:rFonts w:ascii="Arial" w:hAnsi="Arial" w:cs="Arial"/>
          <w:b/>
        </w:rPr>
        <w:t xml:space="preserve">del Banco </w:t>
      </w:r>
      <w:r w:rsidR="00E20CA4" w:rsidRPr="00A03456">
        <w:rPr>
          <w:rFonts w:ascii="Arial" w:hAnsi="Arial" w:cs="Arial"/>
        </w:rPr>
        <w:t>Caja Social</w:t>
      </w:r>
      <w:r w:rsidRPr="00A03456">
        <w:rPr>
          <w:rFonts w:ascii="Arial" w:hAnsi="Arial" w:cs="Arial"/>
        </w:rPr>
        <w:t xml:space="preserve"> </w:t>
      </w:r>
      <w:r w:rsidRPr="00A03456">
        <w:rPr>
          <w:rFonts w:ascii="Arial" w:hAnsi="Arial" w:cs="Arial"/>
          <w:b/>
        </w:rPr>
        <w:t>a nombre</w:t>
      </w:r>
      <w:r w:rsidR="00E20CA4" w:rsidRPr="00A03456">
        <w:rPr>
          <w:rFonts w:ascii="Arial" w:hAnsi="Arial" w:cs="Arial"/>
          <w:b/>
        </w:rPr>
        <w:t xml:space="preserve"> de la</w:t>
      </w:r>
      <w:r w:rsidRPr="00A03456">
        <w:rPr>
          <w:rFonts w:ascii="Arial" w:hAnsi="Arial" w:cs="Arial"/>
          <w:b/>
        </w:rPr>
        <w:t xml:space="preserve"> Institución </w:t>
      </w:r>
      <w:r w:rsidR="00E20CA4" w:rsidRPr="00A03456">
        <w:rPr>
          <w:rFonts w:ascii="Arial" w:hAnsi="Arial" w:cs="Arial"/>
          <w:b/>
        </w:rPr>
        <w:t xml:space="preserve">Educativa </w:t>
      </w:r>
      <w:r w:rsidR="00E20CA4" w:rsidRPr="00A03456">
        <w:rPr>
          <w:rFonts w:ascii="Arial" w:hAnsi="Arial" w:cs="Arial"/>
        </w:rPr>
        <w:t>Las Nieves</w:t>
      </w:r>
      <w:r w:rsidRPr="00A03456">
        <w:rPr>
          <w:rFonts w:ascii="Arial" w:hAnsi="Arial" w:cs="Arial"/>
        </w:rPr>
        <w:t xml:space="preserve">. </w:t>
      </w:r>
    </w:p>
    <w:p w14:paraId="01FBA68D" w14:textId="31DA7350" w:rsidR="00A03456" w:rsidRPr="00A03456" w:rsidRDefault="00A03456" w:rsidP="000E1029">
      <w:pPr>
        <w:jc w:val="both"/>
        <w:rPr>
          <w:rFonts w:ascii="Arial" w:hAnsi="Arial" w:cs="Arial"/>
          <w:u w:val="single"/>
          <w:lang w:val="es-MX"/>
        </w:rPr>
      </w:pPr>
    </w:p>
    <w:p w14:paraId="14ED6A54" w14:textId="24868999" w:rsidR="000E1029" w:rsidRDefault="000E1029" w:rsidP="000E1029">
      <w:pPr>
        <w:jc w:val="both"/>
        <w:rPr>
          <w:rFonts w:ascii="Arial" w:hAnsi="Arial" w:cs="Arial"/>
          <w:b/>
        </w:rPr>
      </w:pPr>
      <w:r w:rsidRPr="00A03456">
        <w:rPr>
          <w:rFonts w:ascii="Arial" w:hAnsi="Arial" w:cs="Arial"/>
          <w:b/>
          <w:color w:val="000000"/>
        </w:rPr>
        <w:t>ARTÍCULO CUARTO</w:t>
      </w:r>
      <w:r w:rsidRPr="00A03456">
        <w:rPr>
          <w:rFonts w:ascii="Arial" w:hAnsi="Arial" w:cs="Arial"/>
          <w:b/>
        </w:rPr>
        <w:t>.</w:t>
      </w:r>
      <w:r w:rsidRPr="00A03456">
        <w:rPr>
          <w:rFonts w:ascii="Arial" w:hAnsi="Arial" w:cs="Arial"/>
          <w:lang w:val="es-MX"/>
        </w:rPr>
        <w:t xml:space="preserve"> La Institución Educativa establece para sus alumnos las siguientes actividades extracurriculares con sus respectivas tarifas para la vigenc</w:t>
      </w:r>
      <w:r w:rsidR="004738CB" w:rsidRPr="00A03456">
        <w:rPr>
          <w:rFonts w:ascii="Arial" w:hAnsi="Arial" w:cs="Arial"/>
          <w:lang w:val="es-MX"/>
        </w:rPr>
        <w:t>ia del calendario académico 2026</w:t>
      </w:r>
      <w:r w:rsidRPr="00A03456">
        <w:rPr>
          <w:rFonts w:ascii="Arial" w:hAnsi="Arial" w:cs="Arial"/>
          <w:lang w:val="es-MX"/>
        </w:rPr>
        <w:t>, las cuales serán de carácter voluntario y se desarrollarán en jornada contraria a la académica: (</w:t>
      </w:r>
      <w:r w:rsidRPr="00A03456">
        <w:rPr>
          <w:rFonts w:ascii="Arial" w:hAnsi="Arial" w:cs="Arial"/>
          <w:b/>
        </w:rPr>
        <w:t>Sólo aplica para las I.E. que realicen actividades extracurriculares).</w:t>
      </w:r>
    </w:p>
    <w:p w14:paraId="58597BA3" w14:textId="7BE8F9DF" w:rsidR="00A03456" w:rsidRDefault="00A03456" w:rsidP="000E1029">
      <w:pPr>
        <w:jc w:val="both"/>
        <w:rPr>
          <w:rFonts w:ascii="Arial" w:hAnsi="Arial" w:cs="Arial"/>
          <w:b/>
        </w:rPr>
      </w:pPr>
    </w:p>
    <w:p w14:paraId="33C6E22A" w14:textId="6FDF2C5D" w:rsidR="00A03456" w:rsidRDefault="00A03456" w:rsidP="000E1029">
      <w:pPr>
        <w:jc w:val="both"/>
        <w:rPr>
          <w:rFonts w:ascii="Arial" w:hAnsi="Arial" w:cs="Arial"/>
          <w:b/>
        </w:rPr>
      </w:pPr>
    </w:p>
    <w:p w14:paraId="5FB5D415" w14:textId="77777777" w:rsidR="00A03456" w:rsidRPr="00A03456" w:rsidRDefault="00A03456" w:rsidP="000E1029">
      <w:pPr>
        <w:jc w:val="both"/>
        <w:rPr>
          <w:rFonts w:ascii="Arial" w:hAnsi="Arial" w:cs="Arial"/>
          <w:b/>
        </w:rPr>
      </w:pPr>
    </w:p>
    <w:p w14:paraId="7314CDC9" w14:textId="3FDB4946" w:rsidR="000E1029" w:rsidRPr="00A03456" w:rsidRDefault="000E1029" w:rsidP="000E1029">
      <w:pPr>
        <w:jc w:val="both"/>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996"/>
      </w:tblGrid>
      <w:tr w:rsidR="000E1029" w:rsidRPr="00A03456" w14:paraId="2E7AEC2C" w14:textId="77777777" w:rsidTr="000E1029">
        <w:tc>
          <w:tcPr>
            <w:tcW w:w="5931" w:type="dxa"/>
            <w:shd w:val="clear" w:color="auto" w:fill="D9D9D9"/>
          </w:tcPr>
          <w:p w14:paraId="00279DD8" w14:textId="77777777" w:rsidR="000E1029" w:rsidRPr="00A03456" w:rsidRDefault="000E1029" w:rsidP="000E1029">
            <w:pPr>
              <w:spacing w:after="120"/>
              <w:jc w:val="center"/>
              <w:rPr>
                <w:rFonts w:ascii="Arial" w:hAnsi="Arial" w:cs="Arial"/>
                <w:b/>
                <w:lang w:val="es-MX"/>
              </w:rPr>
            </w:pPr>
            <w:r w:rsidRPr="00A03456">
              <w:rPr>
                <w:rFonts w:ascii="Arial" w:hAnsi="Arial" w:cs="Arial"/>
                <w:b/>
                <w:lang w:val="es-MX"/>
              </w:rPr>
              <w:lastRenderedPageBreak/>
              <w:t>Programa - Proyecto – Actividad</w:t>
            </w:r>
          </w:p>
        </w:tc>
        <w:tc>
          <w:tcPr>
            <w:tcW w:w="3283" w:type="dxa"/>
            <w:shd w:val="clear" w:color="auto" w:fill="D9D9D9"/>
          </w:tcPr>
          <w:p w14:paraId="0ADF2AD5" w14:textId="77777777" w:rsidR="000E1029" w:rsidRPr="00A03456" w:rsidRDefault="000E1029" w:rsidP="000E1029">
            <w:pPr>
              <w:spacing w:after="120"/>
              <w:jc w:val="center"/>
              <w:rPr>
                <w:rFonts w:ascii="Arial" w:hAnsi="Arial" w:cs="Arial"/>
                <w:b/>
                <w:lang w:val="es-MX"/>
              </w:rPr>
            </w:pPr>
            <w:r w:rsidRPr="00A03456">
              <w:rPr>
                <w:rFonts w:ascii="Arial" w:hAnsi="Arial" w:cs="Arial"/>
                <w:b/>
                <w:lang w:val="es-MX"/>
              </w:rPr>
              <w:t>Costo anual por estudiante</w:t>
            </w:r>
          </w:p>
        </w:tc>
      </w:tr>
      <w:tr w:rsidR="000E1029" w:rsidRPr="00A03456" w14:paraId="6FCA0049" w14:textId="77777777" w:rsidTr="000E1029">
        <w:tc>
          <w:tcPr>
            <w:tcW w:w="5931" w:type="dxa"/>
          </w:tcPr>
          <w:p w14:paraId="3CC31E14" w14:textId="77777777" w:rsidR="000E1029" w:rsidRPr="00A03456" w:rsidRDefault="000E1029" w:rsidP="000E1029">
            <w:pPr>
              <w:numPr>
                <w:ilvl w:val="0"/>
                <w:numId w:val="2"/>
              </w:numPr>
              <w:spacing w:before="60" w:after="60"/>
              <w:rPr>
                <w:rFonts w:ascii="Arial" w:hAnsi="Arial" w:cs="Arial"/>
                <w:lang w:val="es-MX"/>
              </w:rPr>
            </w:pPr>
          </w:p>
        </w:tc>
        <w:tc>
          <w:tcPr>
            <w:tcW w:w="3283" w:type="dxa"/>
          </w:tcPr>
          <w:p w14:paraId="2465C883" w14:textId="77777777" w:rsidR="000E1029" w:rsidRPr="00A03456" w:rsidRDefault="000E1029" w:rsidP="000E1029">
            <w:pPr>
              <w:spacing w:before="60" w:after="60"/>
              <w:jc w:val="center"/>
              <w:rPr>
                <w:rFonts w:ascii="Arial" w:hAnsi="Arial" w:cs="Arial"/>
                <w:lang w:val="es-MX"/>
              </w:rPr>
            </w:pPr>
          </w:p>
        </w:tc>
      </w:tr>
      <w:tr w:rsidR="000E1029" w:rsidRPr="00A03456" w14:paraId="41ABCD86" w14:textId="77777777" w:rsidTr="000E1029">
        <w:tc>
          <w:tcPr>
            <w:tcW w:w="5931" w:type="dxa"/>
          </w:tcPr>
          <w:p w14:paraId="3379E14A" w14:textId="77777777" w:rsidR="000E1029" w:rsidRPr="00A03456" w:rsidRDefault="000E1029" w:rsidP="000E1029">
            <w:pPr>
              <w:numPr>
                <w:ilvl w:val="0"/>
                <w:numId w:val="2"/>
              </w:numPr>
              <w:spacing w:before="60" w:after="60"/>
              <w:rPr>
                <w:rFonts w:ascii="Arial" w:hAnsi="Arial" w:cs="Arial"/>
                <w:lang w:val="es-MX"/>
              </w:rPr>
            </w:pPr>
          </w:p>
        </w:tc>
        <w:tc>
          <w:tcPr>
            <w:tcW w:w="3283" w:type="dxa"/>
          </w:tcPr>
          <w:p w14:paraId="65C49598" w14:textId="77777777" w:rsidR="000E1029" w:rsidRPr="00A03456" w:rsidRDefault="000E1029" w:rsidP="000E1029">
            <w:pPr>
              <w:spacing w:before="60" w:after="60"/>
              <w:jc w:val="center"/>
              <w:rPr>
                <w:rFonts w:ascii="Arial" w:hAnsi="Arial" w:cs="Arial"/>
                <w:lang w:val="es-MX"/>
              </w:rPr>
            </w:pPr>
          </w:p>
        </w:tc>
      </w:tr>
      <w:tr w:rsidR="000E1029" w:rsidRPr="00A03456" w14:paraId="6D1CAD10" w14:textId="77777777" w:rsidTr="000E1029">
        <w:tc>
          <w:tcPr>
            <w:tcW w:w="5931" w:type="dxa"/>
          </w:tcPr>
          <w:p w14:paraId="76F85755" w14:textId="77777777" w:rsidR="000E1029" w:rsidRPr="00A03456" w:rsidRDefault="000E1029" w:rsidP="000E1029">
            <w:pPr>
              <w:numPr>
                <w:ilvl w:val="0"/>
                <w:numId w:val="2"/>
              </w:numPr>
              <w:spacing w:before="60" w:after="60"/>
              <w:rPr>
                <w:rFonts w:ascii="Arial" w:hAnsi="Arial" w:cs="Arial"/>
                <w:lang w:val="es-MX"/>
              </w:rPr>
            </w:pPr>
          </w:p>
        </w:tc>
        <w:tc>
          <w:tcPr>
            <w:tcW w:w="3283" w:type="dxa"/>
          </w:tcPr>
          <w:p w14:paraId="303B46ED" w14:textId="77777777" w:rsidR="000E1029" w:rsidRPr="00A03456" w:rsidRDefault="000E1029" w:rsidP="000E1029">
            <w:pPr>
              <w:spacing w:before="60" w:after="60"/>
              <w:jc w:val="center"/>
              <w:rPr>
                <w:rFonts w:ascii="Arial" w:hAnsi="Arial" w:cs="Arial"/>
                <w:lang w:val="es-MX"/>
              </w:rPr>
            </w:pPr>
          </w:p>
        </w:tc>
      </w:tr>
    </w:tbl>
    <w:p w14:paraId="00283D25" w14:textId="492EF765" w:rsidR="000E1029" w:rsidRPr="00A03456" w:rsidRDefault="000E1029" w:rsidP="000E1029">
      <w:pPr>
        <w:jc w:val="both"/>
        <w:rPr>
          <w:rFonts w:ascii="Arial" w:hAnsi="Arial" w:cs="Arial"/>
          <w:u w:val="single"/>
        </w:rPr>
      </w:pPr>
    </w:p>
    <w:p w14:paraId="29D5A925" w14:textId="77777777" w:rsidR="009566FC" w:rsidRPr="00A03456" w:rsidRDefault="009566FC" w:rsidP="000E1029">
      <w:pPr>
        <w:jc w:val="both"/>
        <w:rPr>
          <w:rFonts w:ascii="Arial" w:hAnsi="Arial" w:cs="Arial"/>
          <w:u w:val="single"/>
        </w:rPr>
      </w:pPr>
    </w:p>
    <w:p w14:paraId="22BE7183" w14:textId="75DCF694" w:rsidR="000E1029" w:rsidRPr="00A03456" w:rsidRDefault="000E1029" w:rsidP="000E1029">
      <w:pPr>
        <w:jc w:val="both"/>
        <w:rPr>
          <w:rFonts w:ascii="Arial" w:hAnsi="Arial" w:cs="Arial"/>
          <w:lang w:val="es-MX"/>
        </w:rPr>
      </w:pPr>
      <w:r w:rsidRPr="00A03456">
        <w:rPr>
          <w:rFonts w:ascii="Arial" w:hAnsi="Arial" w:cs="Arial"/>
          <w:b/>
        </w:rPr>
        <w:t>PARÁGRAFO.</w:t>
      </w:r>
      <w:r w:rsidRPr="00A03456">
        <w:rPr>
          <w:rFonts w:ascii="Arial" w:hAnsi="Arial" w:cs="Arial"/>
        </w:rPr>
        <w:t xml:space="preserve"> El con</w:t>
      </w:r>
      <w:r w:rsidR="001C4652" w:rsidRPr="00A03456">
        <w:rPr>
          <w:rFonts w:ascii="Arial" w:hAnsi="Arial" w:cs="Arial"/>
        </w:rPr>
        <w:t>tenido del presente artículo, in</w:t>
      </w:r>
      <w:r w:rsidR="001C4652" w:rsidRPr="00A03456">
        <w:rPr>
          <w:rFonts w:ascii="Arial" w:hAnsi="Arial" w:cs="Arial"/>
          <w:lang w:val="es-MX"/>
        </w:rPr>
        <w:t>cluye</w:t>
      </w:r>
      <w:bookmarkStart w:id="0" w:name="_GoBack"/>
      <w:bookmarkEnd w:id="0"/>
      <w:r w:rsidRPr="00A03456">
        <w:rPr>
          <w:rFonts w:ascii="Arial" w:hAnsi="Arial" w:cs="Arial"/>
          <w:lang w:val="es-MX"/>
        </w:rPr>
        <w:t xml:space="preserve"> los literales aclaratorios establecidos para el Artículo cuarto del Acuerdo Directivo que sustenta la presente Resolución Rectoral.</w:t>
      </w:r>
    </w:p>
    <w:p w14:paraId="7F15637D" w14:textId="77777777" w:rsidR="000E1029" w:rsidRPr="00A03456" w:rsidRDefault="000E1029" w:rsidP="000E1029">
      <w:pPr>
        <w:jc w:val="both"/>
        <w:rPr>
          <w:rFonts w:ascii="Arial" w:hAnsi="Arial" w:cs="Arial"/>
          <w:b/>
        </w:rPr>
      </w:pPr>
    </w:p>
    <w:p w14:paraId="11A82F86" w14:textId="7277AD20" w:rsidR="009566FC" w:rsidRPr="00A03456" w:rsidRDefault="000E1029" w:rsidP="000E1029">
      <w:pPr>
        <w:spacing w:after="240"/>
        <w:jc w:val="both"/>
        <w:rPr>
          <w:rFonts w:ascii="Arial" w:hAnsi="Arial" w:cs="Arial"/>
        </w:rPr>
      </w:pPr>
      <w:r w:rsidRPr="00A03456">
        <w:rPr>
          <w:rFonts w:ascii="Arial" w:hAnsi="Arial" w:cs="Arial"/>
          <w:b/>
        </w:rPr>
        <w:t>ARTÍCULO QUINTO.</w:t>
      </w:r>
      <w:r w:rsidRPr="00A03456">
        <w:rPr>
          <w:rFonts w:ascii="Arial" w:hAnsi="Arial" w:cs="Arial"/>
        </w:rPr>
        <w:t xml:space="preserve"> La presente Resolución Rectoral rige a partir de la fecha de su aprobación y deroga todas las disposiciones que le sean contrarias.</w:t>
      </w:r>
    </w:p>
    <w:p w14:paraId="50E856DF" w14:textId="6C7056E0" w:rsidR="009566FC" w:rsidRPr="00A03456" w:rsidRDefault="009566FC" w:rsidP="000E1029">
      <w:pPr>
        <w:spacing w:after="240"/>
        <w:jc w:val="center"/>
        <w:rPr>
          <w:rFonts w:ascii="Arial" w:hAnsi="Arial" w:cs="Arial"/>
          <w:b/>
        </w:rPr>
      </w:pPr>
    </w:p>
    <w:p w14:paraId="4353A248" w14:textId="35CD1076" w:rsidR="000E1029" w:rsidRPr="00A03456" w:rsidRDefault="000E1029" w:rsidP="000E1029">
      <w:pPr>
        <w:spacing w:after="240"/>
        <w:jc w:val="center"/>
        <w:rPr>
          <w:rFonts w:ascii="Arial" w:hAnsi="Arial" w:cs="Arial"/>
          <w:b/>
        </w:rPr>
      </w:pPr>
      <w:r w:rsidRPr="00A03456">
        <w:rPr>
          <w:rFonts w:ascii="Arial" w:hAnsi="Arial" w:cs="Arial"/>
          <w:b/>
        </w:rPr>
        <w:t>COMUNÍQUESE, PUBLÍQUESE Y CÚMPLASE</w:t>
      </w:r>
    </w:p>
    <w:p w14:paraId="6C960472" w14:textId="51065A19" w:rsidR="000E1029" w:rsidRPr="00A03456" w:rsidRDefault="000E1029" w:rsidP="000E1029">
      <w:pPr>
        <w:spacing w:after="120"/>
        <w:jc w:val="both"/>
        <w:rPr>
          <w:rFonts w:ascii="Arial" w:hAnsi="Arial" w:cs="Arial"/>
        </w:rPr>
      </w:pPr>
    </w:p>
    <w:p w14:paraId="5235856B" w14:textId="61C8F8AF" w:rsidR="000E1029" w:rsidRPr="00A03456" w:rsidRDefault="00A03456" w:rsidP="000E1029">
      <w:pPr>
        <w:spacing w:after="120"/>
        <w:jc w:val="center"/>
        <w:rPr>
          <w:rFonts w:ascii="Arial" w:hAnsi="Arial" w:cs="Arial"/>
        </w:rPr>
      </w:pPr>
      <w:r w:rsidRPr="00A03456">
        <w:rPr>
          <w:rFonts w:ascii="Arial" w:hAnsi="Arial" w:cs="Arial"/>
        </w:rPr>
        <w:t>Dada en Medellín, a los 03</w:t>
      </w:r>
      <w:r w:rsidR="000E1029" w:rsidRPr="00A03456">
        <w:rPr>
          <w:rFonts w:ascii="Arial" w:hAnsi="Arial" w:cs="Arial"/>
        </w:rPr>
        <w:t xml:space="preserve"> d</w:t>
      </w:r>
      <w:r w:rsidRPr="00A03456">
        <w:rPr>
          <w:rFonts w:ascii="Arial" w:hAnsi="Arial" w:cs="Arial"/>
        </w:rPr>
        <w:t xml:space="preserve">ías del mes de diciembre </w:t>
      </w:r>
      <w:r w:rsidR="007A0FA0" w:rsidRPr="00A03456">
        <w:rPr>
          <w:rFonts w:ascii="Arial" w:hAnsi="Arial" w:cs="Arial"/>
        </w:rPr>
        <w:t>de 2025</w:t>
      </w:r>
    </w:p>
    <w:p w14:paraId="43B2DEFE" w14:textId="77777777" w:rsidR="00E71367" w:rsidRPr="00A03456" w:rsidRDefault="00E71367" w:rsidP="000E1029">
      <w:pPr>
        <w:spacing w:after="120"/>
        <w:jc w:val="center"/>
        <w:rPr>
          <w:rFonts w:ascii="Arial" w:hAnsi="Arial" w:cs="Arial"/>
        </w:rPr>
      </w:pPr>
    </w:p>
    <w:p w14:paraId="7ECD6A66" w14:textId="7439A221" w:rsidR="009B467D" w:rsidRPr="00A03456" w:rsidRDefault="009B467D" w:rsidP="000E1029">
      <w:pPr>
        <w:spacing w:after="120"/>
        <w:jc w:val="both"/>
        <w:rPr>
          <w:rFonts w:ascii="Arial" w:hAnsi="Arial" w:cs="Arial"/>
        </w:rPr>
      </w:pPr>
    </w:p>
    <w:p w14:paraId="0BF4F5ED" w14:textId="77777777" w:rsidR="00AD5413" w:rsidRPr="00A03456" w:rsidRDefault="00AD5413" w:rsidP="000E1029">
      <w:pPr>
        <w:spacing w:after="120"/>
        <w:jc w:val="both"/>
        <w:rPr>
          <w:rFonts w:ascii="Arial" w:hAnsi="Arial" w:cs="Arial"/>
        </w:rPr>
      </w:pPr>
    </w:p>
    <w:p w14:paraId="4F8B3A39" w14:textId="77777777" w:rsidR="000E1029" w:rsidRPr="00A03456" w:rsidRDefault="000E1029" w:rsidP="000E1029">
      <w:pPr>
        <w:autoSpaceDE w:val="0"/>
        <w:autoSpaceDN w:val="0"/>
        <w:adjustRightInd w:val="0"/>
        <w:rPr>
          <w:rFonts w:ascii="Arial" w:hAnsi="Arial" w:cs="Arial"/>
        </w:rPr>
      </w:pPr>
      <w:r w:rsidRPr="00A03456">
        <w:rPr>
          <w:rFonts w:ascii="Arial" w:hAnsi="Arial" w:cs="Arial"/>
        </w:rPr>
        <w:t>____________________________</w:t>
      </w:r>
    </w:p>
    <w:p w14:paraId="2B456E3B" w14:textId="2977B72E" w:rsidR="000E1029" w:rsidRPr="00A03456" w:rsidRDefault="000E1029" w:rsidP="000E1029">
      <w:pPr>
        <w:autoSpaceDE w:val="0"/>
        <w:autoSpaceDN w:val="0"/>
        <w:adjustRightInd w:val="0"/>
        <w:spacing w:after="120"/>
        <w:rPr>
          <w:rFonts w:ascii="Arial" w:hAnsi="Arial" w:cs="Arial"/>
        </w:rPr>
      </w:pPr>
      <w:r w:rsidRPr="00A03456">
        <w:rPr>
          <w:rFonts w:ascii="Arial" w:hAnsi="Arial" w:cs="Arial"/>
        </w:rPr>
        <w:t xml:space="preserve">Firma del Rector  </w:t>
      </w:r>
    </w:p>
    <w:p w14:paraId="70BB1761" w14:textId="755A6ACD" w:rsidR="009B467D" w:rsidRPr="00A03456" w:rsidRDefault="009B467D" w:rsidP="000E1029">
      <w:pPr>
        <w:autoSpaceDE w:val="0"/>
        <w:autoSpaceDN w:val="0"/>
        <w:adjustRightInd w:val="0"/>
        <w:spacing w:after="120"/>
        <w:rPr>
          <w:rFonts w:ascii="Arial" w:hAnsi="Arial" w:cs="Arial"/>
        </w:rPr>
      </w:pPr>
      <w:r w:rsidRPr="00A03456">
        <w:rPr>
          <w:rFonts w:ascii="Arial" w:hAnsi="Arial" w:cs="Arial"/>
        </w:rPr>
        <w:t xml:space="preserve">Nombre: </w:t>
      </w:r>
    </w:p>
    <w:p w14:paraId="21A298E3" w14:textId="77777777" w:rsidR="000E1029" w:rsidRPr="00A03456" w:rsidRDefault="000E1029" w:rsidP="000E1029">
      <w:pPr>
        <w:pStyle w:val="adnarticulocompletop"/>
        <w:spacing w:before="0" w:beforeAutospacing="0" w:after="120" w:afterAutospacing="0"/>
        <w:rPr>
          <w:rFonts w:ascii="Arial" w:hAnsi="Arial" w:cs="Arial"/>
          <w:i/>
        </w:rPr>
      </w:pPr>
    </w:p>
    <w:p w14:paraId="4A7325D4" w14:textId="77777777" w:rsidR="000E1029" w:rsidRPr="00A03456" w:rsidRDefault="000E1029" w:rsidP="000E1029">
      <w:pPr>
        <w:pStyle w:val="adnarticulocompletop"/>
        <w:spacing w:before="0" w:beforeAutospacing="0" w:after="120" w:afterAutospacing="0"/>
        <w:rPr>
          <w:rFonts w:ascii="Arial" w:hAnsi="Arial" w:cs="Arial"/>
          <w:i/>
        </w:rPr>
      </w:pPr>
    </w:p>
    <w:p w14:paraId="3B453D3A" w14:textId="77777777" w:rsidR="009B467D" w:rsidRPr="00A03456" w:rsidRDefault="000E1029" w:rsidP="000E1029">
      <w:pPr>
        <w:pStyle w:val="adnarticulocompletop"/>
        <w:spacing w:before="0" w:beforeAutospacing="0" w:after="120" w:afterAutospacing="0"/>
        <w:rPr>
          <w:rFonts w:ascii="Arial" w:hAnsi="Arial" w:cs="Arial"/>
          <w:i/>
        </w:rPr>
      </w:pPr>
      <w:r w:rsidRPr="00A03456">
        <w:rPr>
          <w:rFonts w:ascii="Arial" w:hAnsi="Arial" w:cs="Arial"/>
          <w:i/>
        </w:rPr>
        <w:t>Refrendado por:</w:t>
      </w:r>
    </w:p>
    <w:p w14:paraId="3E7F091D" w14:textId="6A4AB721" w:rsidR="000E1029" w:rsidRPr="00A03456" w:rsidRDefault="000E1029" w:rsidP="000E1029">
      <w:pPr>
        <w:pStyle w:val="adnarticulocompletop"/>
        <w:spacing w:before="0" w:beforeAutospacing="0" w:after="120" w:afterAutospacing="0"/>
        <w:rPr>
          <w:rFonts w:ascii="Arial" w:hAnsi="Arial" w:cs="Arial"/>
        </w:rPr>
      </w:pPr>
      <w:r w:rsidRPr="00A03456">
        <w:rPr>
          <w:rFonts w:ascii="Arial" w:hAnsi="Arial" w:cs="Arial"/>
          <w:i/>
        </w:rPr>
        <w:t xml:space="preserve"> </w:t>
      </w:r>
      <w:r w:rsidRPr="00A03456">
        <w:rPr>
          <w:rFonts w:ascii="Arial" w:hAnsi="Arial" w:cs="Arial"/>
        </w:rPr>
        <w:t>______________________________</w:t>
      </w:r>
    </w:p>
    <w:p w14:paraId="678A0AD1" w14:textId="77777777" w:rsidR="00E71367" w:rsidRPr="00A03456" w:rsidRDefault="00E71367" w:rsidP="00E71367">
      <w:pPr>
        <w:pStyle w:val="adnarticulocompletop"/>
        <w:spacing w:before="0" w:beforeAutospacing="0" w:after="0" w:afterAutospacing="0"/>
        <w:jc w:val="both"/>
        <w:rPr>
          <w:rFonts w:ascii="Arial" w:hAnsi="Arial" w:cs="Arial"/>
        </w:rPr>
      </w:pPr>
      <w:r w:rsidRPr="00A03456">
        <w:rPr>
          <w:rFonts w:ascii="Arial" w:hAnsi="Arial" w:cs="Arial"/>
        </w:rPr>
        <w:t>Astrid Lopera Vásquez</w:t>
      </w:r>
    </w:p>
    <w:p w14:paraId="35CDD1D0" w14:textId="77777777" w:rsidR="00E71367" w:rsidRPr="00A03456" w:rsidRDefault="00E71367" w:rsidP="00E71367">
      <w:pPr>
        <w:jc w:val="both"/>
        <w:rPr>
          <w:rFonts w:ascii="Arial" w:hAnsi="Arial" w:cs="Arial"/>
        </w:rPr>
      </w:pPr>
      <w:r w:rsidRPr="00A03456">
        <w:rPr>
          <w:rFonts w:ascii="Arial" w:hAnsi="Arial" w:cs="Arial"/>
        </w:rPr>
        <w:t>Profesional de Apoyo</w:t>
      </w:r>
    </w:p>
    <w:p w14:paraId="33F6E2E4" w14:textId="77777777" w:rsidR="00E71367" w:rsidRPr="00A03456" w:rsidRDefault="00E71367" w:rsidP="00E71367">
      <w:pPr>
        <w:jc w:val="both"/>
        <w:rPr>
          <w:rFonts w:ascii="Arial" w:hAnsi="Arial" w:cs="Arial"/>
        </w:rPr>
      </w:pPr>
      <w:r w:rsidRPr="00A03456">
        <w:rPr>
          <w:rFonts w:ascii="Arial" w:hAnsi="Arial" w:cs="Arial"/>
        </w:rPr>
        <w:t>Núcleo Educativo 916 (</w:t>
      </w:r>
      <w:proofErr w:type="spellStart"/>
      <w:r w:rsidRPr="00A03456">
        <w:rPr>
          <w:rFonts w:ascii="Arial" w:hAnsi="Arial" w:cs="Arial"/>
          <w:color w:val="A6A6A6" w:themeColor="background1" w:themeShade="A6"/>
        </w:rPr>
        <w:t>dd</w:t>
      </w:r>
      <w:proofErr w:type="spellEnd"/>
      <w:r w:rsidRPr="00A03456">
        <w:rPr>
          <w:rFonts w:ascii="Arial" w:hAnsi="Arial" w:cs="Arial"/>
          <w:color w:val="A6A6A6" w:themeColor="background1" w:themeShade="A6"/>
        </w:rPr>
        <w:t>/mm/</w:t>
      </w:r>
      <w:proofErr w:type="spellStart"/>
      <w:r w:rsidRPr="00A03456">
        <w:rPr>
          <w:rFonts w:ascii="Arial" w:hAnsi="Arial" w:cs="Arial"/>
          <w:color w:val="A6A6A6" w:themeColor="background1" w:themeShade="A6"/>
        </w:rPr>
        <w:t>aa</w:t>
      </w:r>
      <w:proofErr w:type="spellEnd"/>
      <w:r w:rsidRPr="00A03456">
        <w:rPr>
          <w:rFonts w:ascii="Arial" w:hAnsi="Arial" w:cs="Arial"/>
        </w:rPr>
        <w:t>)</w:t>
      </w:r>
    </w:p>
    <w:p w14:paraId="0CF074AB" w14:textId="77777777" w:rsidR="008D4387" w:rsidRPr="00A03456" w:rsidRDefault="008D4387" w:rsidP="000E1029">
      <w:pPr>
        <w:rPr>
          <w:rFonts w:ascii="Arial" w:hAnsi="Arial" w:cs="Arial"/>
        </w:rPr>
      </w:pPr>
    </w:p>
    <w:sectPr w:rsidR="008D4387" w:rsidRPr="00A03456" w:rsidSect="000E1029">
      <w:headerReference w:type="default" r:id="rId8"/>
      <w:footerReference w:type="default" r:id="rId9"/>
      <w:pgSz w:w="12240" w:h="15840"/>
      <w:pgMar w:top="3119" w:right="1797" w:bottom="805" w:left="1797"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B7BA2" w14:textId="77777777" w:rsidR="00887595" w:rsidRDefault="00887595" w:rsidP="005838D1">
      <w:r>
        <w:separator/>
      </w:r>
    </w:p>
  </w:endnote>
  <w:endnote w:type="continuationSeparator" w:id="0">
    <w:p w14:paraId="0810B22E" w14:textId="77777777" w:rsidR="00887595" w:rsidRDefault="00887595"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4D9F3" w14:textId="2121BDA7" w:rsidR="004944DA" w:rsidRDefault="00600C2A">
    <w:pPr>
      <w:pStyle w:val="Piedepgina"/>
    </w:pPr>
    <w:r w:rsidRPr="00FC44BB">
      <w:rPr>
        <w:noProof/>
        <w:lang w:val="en-US"/>
      </w:rPr>
      <w:drawing>
        <wp:anchor distT="0" distB="0" distL="114300" distR="114300" simplePos="0" relativeHeight="251658240" behindDoc="1" locked="0" layoutInCell="1" allowOverlap="1" wp14:anchorId="6348275E" wp14:editId="7D765144">
          <wp:simplePos x="0" y="0"/>
          <wp:positionH relativeFrom="margin">
            <wp:posOffset>-187837</wp:posOffset>
          </wp:positionH>
          <wp:positionV relativeFrom="paragraph">
            <wp:posOffset>11430</wp:posOffset>
          </wp:positionV>
          <wp:extent cx="6094550" cy="652346"/>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4550" cy="6523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5F7D5F" w14:textId="0BE31177" w:rsidR="004944DA" w:rsidRDefault="004944DA">
    <w:pPr>
      <w:pStyle w:val="Piedepgina"/>
    </w:pPr>
  </w:p>
  <w:p w14:paraId="11C28507" w14:textId="6E761D28" w:rsidR="004944DA" w:rsidRDefault="004944DA">
    <w:pPr>
      <w:pStyle w:val="Piedepgina"/>
    </w:pPr>
  </w:p>
  <w:p w14:paraId="4449698A" w14:textId="4F629D16" w:rsidR="004944DA" w:rsidRDefault="004944DA">
    <w:pPr>
      <w:pStyle w:val="Piedepgina"/>
    </w:pPr>
  </w:p>
  <w:p w14:paraId="1531398D" w14:textId="77777777" w:rsidR="004944DA" w:rsidRDefault="004944D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6A51E" w14:textId="77777777" w:rsidR="00887595" w:rsidRDefault="00887595" w:rsidP="005838D1">
      <w:r>
        <w:separator/>
      </w:r>
    </w:p>
  </w:footnote>
  <w:footnote w:type="continuationSeparator" w:id="0">
    <w:p w14:paraId="498961B8" w14:textId="77777777" w:rsidR="00887595" w:rsidRDefault="00887595" w:rsidP="005838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3F6C1" w14:textId="7191CA24" w:rsidR="00EA4F02" w:rsidRDefault="00EA4F02" w:rsidP="00EA4F02">
    <w:pPr>
      <w:pStyle w:val="Encabezado"/>
      <w:jc w:val="center"/>
      <w:rPr>
        <w:rFonts w:ascii="Arial" w:hAnsi="Arial" w:cs="Arial"/>
        <w:b/>
        <w:noProof/>
        <w:spacing w:val="40"/>
        <w:sz w:val="20"/>
        <w:szCs w:val="20"/>
        <w:lang w:eastAsia="es-CO"/>
      </w:rPr>
    </w:pPr>
  </w:p>
  <w:p w14:paraId="5F3E2A8B" w14:textId="06E4C462" w:rsidR="00EA4F02" w:rsidRPr="009C16B9" w:rsidRDefault="00EA4F02" w:rsidP="00EA4F02">
    <w:pPr>
      <w:pStyle w:val="Encabezado"/>
      <w:rPr>
        <w:rFonts w:ascii="Arial" w:hAnsi="Arial" w:cs="Arial"/>
        <w:b/>
        <w:i/>
        <w:sz w:val="14"/>
        <w:szCs w:val="14"/>
        <w:lang w:val="es-MX"/>
      </w:rPr>
    </w:pPr>
    <w:r>
      <w:rPr>
        <w:rFonts w:ascii="Arial" w:hAnsi="Arial" w:cs="Arial"/>
        <w:b/>
        <w:i/>
        <w:sz w:val="14"/>
        <w:szCs w:val="14"/>
        <w:lang w:val="es-MX"/>
      </w:rPr>
      <w:t>Resolución Rectoral</w:t>
    </w:r>
    <w:r w:rsidRPr="00A739B6">
      <w:rPr>
        <w:rFonts w:ascii="Arial" w:hAnsi="Arial" w:cs="Arial"/>
        <w:b/>
        <w:i/>
        <w:sz w:val="14"/>
        <w:szCs w:val="14"/>
        <w:lang w:val="es-MX"/>
      </w:rPr>
      <w:t xml:space="preserve"> N° </w:t>
    </w:r>
    <w:r w:rsidR="00CF6606">
      <w:rPr>
        <w:rFonts w:ascii="Arial" w:hAnsi="Arial" w:cs="Arial"/>
        <w:b/>
        <w:i/>
        <w:sz w:val="14"/>
        <w:szCs w:val="14"/>
        <w:lang w:val="es-MX"/>
      </w:rPr>
      <w:t>28</w:t>
    </w:r>
    <w:r w:rsidR="007A0FA0">
      <w:rPr>
        <w:rFonts w:ascii="Arial" w:hAnsi="Arial" w:cs="Arial"/>
        <w:b/>
        <w:i/>
        <w:sz w:val="14"/>
        <w:szCs w:val="14"/>
        <w:lang w:val="es-MX"/>
      </w:rPr>
      <w:t xml:space="preserve"> de 2025</w:t>
    </w:r>
    <w:r w:rsidRPr="00A739B6">
      <w:rPr>
        <w:rFonts w:ascii="Arial" w:hAnsi="Arial" w:cs="Arial"/>
        <w:b/>
        <w:i/>
        <w:sz w:val="14"/>
        <w:szCs w:val="14"/>
        <w:lang w:val="es-MX"/>
      </w:rPr>
      <w:t xml:space="preserve"> por el cual se determinan las tarifas por derechos académicos o servicios complementarios </w:t>
    </w:r>
    <w:r w:rsidR="007A0FA0">
      <w:rPr>
        <w:rFonts w:ascii="Arial" w:hAnsi="Arial" w:cs="Arial"/>
        <w:b/>
        <w:i/>
        <w:sz w:val="14"/>
        <w:szCs w:val="14"/>
        <w:lang w:val="es-MX"/>
      </w:rPr>
      <w:t>para vigencia del año 2026</w:t>
    </w:r>
  </w:p>
  <w:p w14:paraId="6EF30DEE" w14:textId="77777777" w:rsidR="00EA4F02" w:rsidRDefault="00EA4F02" w:rsidP="00EA4F02">
    <w:pPr>
      <w:pStyle w:val="Encabezado"/>
      <w:tabs>
        <w:tab w:val="clear" w:pos="4320"/>
        <w:tab w:val="left" w:pos="973"/>
        <w:tab w:val="left" w:pos="1570"/>
        <w:tab w:val="center" w:pos="4323"/>
      </w:tabs>
      <w:rPr>
        <w:rFonts w:ascii="Arial" w:hAnsi="Arial" w:cs="Arial"/>
        <w:b/>
        <w:noProof/>
        <w:spacing w:val="40"/>
        <w:sz w:val="20"/>
        <w:szCs w:val="20"/>
        <w:lang w:eastAsia="es-CO"/>
      </w:rPr>
    </w:pPr>
    <w:r>
      <w:rPr>
        <w:rFonts w:ascii="Arial" w:hAnsi="Arial" w:cs="Arial"/>
        <w:b/>
        <w:noProof/>
        <w:spacing w:val="40"/>
        <w:sz w:val="20"/>
        <w:szCs w:val="20"/>
        <w:lang w:eastAsia="es-CO"/>
      </w:rPr>
      <w:tab/>
    </w:r>
    <w:r>
      <w:rPr>
        <w:rFonts w:ascii="Arial" w:hAnsi="Arial" w:cs="Arial"/>
        <w:b/>
        <w:noProof/>
        <w:spacing w:val="40"/>
        <w:sz w:val="20"/>
        <w:szCs w:val="20"/>
        <w:lang w:eastAsia="es-CO"/>
      </w:rPr>
      <w:tab/>
    </w:r>
  </w:p>
  <w:p w14:paraId="7D6A51D4" w14:textId="3EBBFDCF" w:rsidR="00EA4F02" w:rsidRDefault="00600C2A" w:rsidP="00EA4F02">
    <w:pPr>
      <w:pStyle w:val="Encabezado"/>
      <w:tabs>
        <w:tab w:val="left" w:pos="1962"/>
      </w:tabs>
      <w:rPr>
        <w:rFonts w:ascii="Arial" w:hAnsi="Arial" w:cs="Arial"/>
        <w:b/>
        <w:noProof/>
        <w:spacing w:val="40"/>
        <w:sz w:val="20"/>
        <w:szCs w:val="20"/>
        <w:lang w:eastAsia="es-CO"/>
      </w:rPr>
    </w:pPr>
    <w:r>
      <w:rPr>
        <w:rFonts w:ascii="Times New Roman"/>
        <w:noProof/>
        <w:sz w:val="20"/>
        <w:lang w:val="en-US"/>
      </w:rPr>
      <w:drawing>
        <wp:anchor distT="0" distB="0" distL="114300" distR="114300" simplePos="0" relativeHeight="251660288" behindDoc="0" locked="0" layoutInCell="1" allowOverlap="1" wp14:anchorId="3157397D" wp14:editId="4D04BF0C">
          <wp:simplePos x="0" y="0"/>
          <wp:positionH relativeFrom="margin">
            <wp:align>center</wp:align>
          </wp:positionH>
          <wp:positionV relativeFrom="paragraph">
            <wp:posOffset>142240</wp:posOffset>
          </wp:positionV>
          <wp:extent cx="1441450" cy="1115060"/>
          <wp:effectExtent l="0" t="0" r="6350" b="889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450" cy="1115060"/>
                  </a:xfrm>
                  <a:prstGeom prst="rect">
                    <a:avLst/>
                  </a:prstGeom>
                </pic:spPr>
              </pic:pic>
            </a:graphicData>
          </a:graphic>
        </wp:anchor>
      </w:drawing>
    </w:r>
  </w:p>
  <w:p w14:paraId="72D22148" w14:textId="5AD52A13" w:rsidR="00EA4F02" w:rsidRDefault="00EA4F02" w:rsidP="00EA4F02">
    <w:pPr>
      <w:pStyle w:val="Encabezado"/>
      <w:tabs>
        <w:tab w:val="left" w:pos="5216"/>
      </w:tabs>
      <w:rPr>
        <w:rFonts w:ascii="Arial" w:hAnsi="Arial" w:cs="Arial"/>
        <w:b/>
        <w:noProof/>
        <w:spacing w:val="40"/>
        <w:sz w:val="20"/>
        <w:szCs w:val="20"/>
        <w:lang w:eastAsia="es-CO"/>
      </w:rPr>
    </w:pPr>
    <w:r>
      <w:rPr>
        <w:rFonts w:ascii="Arial" w:hAnsi="Arial" w:cs="Arial"/>
        <w:b/>
        <w:noProof/>
        <w:spacing w:val="40"/>
        <w:sz w:val="20"/>
        <w:szCs w:val="20"/>
        <w:lang w:eastAsia="es-CO"/>
      </w:rPr>
      <w:tab/>
    </w:r>
  </w:p>
  <w:p w14:paraId="0253BD52" w14:textId="77777777" w:rsidR="00EA4F02" w:rsidRDefault="00EA4F02" w:rsidP="00EA4F02">
    <w:pPr>
      <w:pStyle w:val="Encabezado"/>
      <w:tabs>
        <w:tab w:val="clear" w:pos="8640"/>
        <w:tab w:val="left" w:pos="5040"/>
      </w:tabs>
      <w:rPr>
        <w:rFonts w:ascii="Arial" w:hAnsi="Arial" w:cs="Arial"/>
        <w:b/>
        <w:noProof/>
        <w:spacing w:val="40"/>
        <w:sz w:val="20"/>
        <w:szCs w:val="20"/>
        <w:lang w:eastAsia="es-CO"/>
      </w:rPr>
    </w:pPr>
    <w:r>
      <w:rPr>
        <w:rFonts w:ascii="Arial" w:hAnsi="Arial" w:cs="Arial"/>
        <w:b/>
        <w:noProof/>
        <w:spacing w:val="40"/>
        <w:sz w:val="20"/>
        <w:szCs w:val="20"/>
        <w:lang w:eastAsia="es-CO"/>
      </w:rPr>
      <w:tab/>
    </w:r>
    <w:r>
      <w:rPr>
        <w:rFonts w:ascii="Arial" w:hAnsi="Arial" w:cs="Arial"/>
        <w:b/>
        <w:noProof/>
        <w:spacing w:val="40"/>
        <w:sz w:val="20"/>
        <w:szCs w:val="20"/>
        <w:lang w:eastAsia="es-CO"/>
      </w:rPr>
      <w:tab/>
    </w:r>
    <w:r>
      <w:rPr>
        <w:rFonts w:ascii="Arial" w:hAnsi="Arial" w:cs="Arial"/>
        <w:b/>
        <w:noProof/>
        <w:spacing w:val="40"/>
        <w:sz w:val="20"/>
        <w:szCs w:val="20"/>
        <w:lang w:eastAsia="es-CO"/>
      </w:rPr>
      <w:tab/>
    </w:r>
  </w:p>
  <w:p w14:paraId="6192B77F" w14:textId="77777777" w:rsidR="00EA4F02" w:rsidRDefault="00EA4F02" w:rsidP="00EA4F02">
    <w:pPr>
      <w:pStyle w:val="Encabezado"/>
      <w:tabs>
        <w:tab w:val="left" w:pos="6110"/>
      </w:tabs>
      <w:rPr>
        <w:rFonts w:ascii="Arial" w:hAnsi="Arial" w:cs="Arial"/>
        <w:b/>
        <w:noProof/>
        <w:spacing w:val="40"/>
        <w:sz w:val="20"/>
        <w:szCs w:val="20"/>
        <w:lang w:eastAsia="es-CO"/>
      </w:rPr>
    </w:pPr>
    <w:r>
      <w:rPr>
        <w:rFonts w:ascii="Arial" w:hAnsi="Arial" w:cs="Arial"/>
        <w:b/>
        <w:noProof/>
        <w:spacing w:val="40"/>
        <w:sz w:val="20"/>
        <w:szCs w:val="20"/>
        <w:lang w:eastAsia="es-CO"/>
      </w:rPr>
      <w:tab/>
    </w:r>
  </w:p>
  <w:p w14:paraId="549672A2" w14:textId="77777777" w:rsidR="00EA4F02" w:rsidRDefault="00EA4F02" w:rsidP="00EA4F02">
    <w:pPr>
      <w:pStyle w:val="Encabezado"/>
      <w:jc w:val="center"/>
      <w:rPr>
        <w:rFonts w:ascii="Arial" w:hAnsi="Arial" w:cs="Arial"/>
        <w:b/>
        <w:noProof/>
        <w:spacing w:val="40"/>
        <w:sz w:val="20"/>
        <w:szCs w:val="20"/>
        <w:lang w:eastAsia="es-CO"/>
      </w:rPr>
    </w:pPr>
  </w:p>
  <w:p w14:paraId="2AB8861F" w14:textId="77777777" w:rsidR="00EA4F02" w:rsidRDefault="00EA4F02" w:rsidP="00617FF8">
    <w:pPr>
      <w:pStyle w:val="Encabezado"/>
      <w:tabs>
        <w:tab w:val="clear" w:pos="4320"/>
      </w:tabs>
      <w:ind w:firstLine="14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D53B1"/>
    <w:multiLevelType w:val="hybridMultilevel"/>
    <w:tmpl w:val="DA023772"/>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5C532515"/>
    <w:multiLevelType w:val="hybridMultilevel"/>
    <w:tmpl w:val="81B4620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33"/>
    <w:rsid w:val="000145E1"/>
    <w:rsid w:val="00020B62"/>
    <w:rsid w:val="000820D1"/>
    <w:rsid w:val="00092423"/>
    <w:rsid w:val="000B73B3"/>
    <w:rsid w:val="000C7EF4"/>
    <w:rsid w:val="000E1029"/>
    <w:rsid w:val="000E6E76"/>
    <w:rsid w:val="00107C99"/>
    <w:rsid w:val="00152CB4"/>
    <w:rsid w:val="001652C3"/>
    <w:rsid w:val="00177A08"/>
    <w:rsid w:val="00190056"/>
    <w:rsid w:val="00194B6F"/>
    <w:rsid w:val="001B2A34"/>
    <w:rsid w:val="001C3AF0"/>
    <w:rsid w:val="001C4652"/>
    <w:rsid w:val="001C4696"/>
    <w:rsid w:val="001D0565"/>
    <w:rsid w:val="001E0403"/>
    <w:rsid w:val="00202D86"/>
    <w:rsid w:val="00213FEB"/>
    <w:rsid w:val="00215389"/>
    <w:rsid w:val="002417BA"/>
    <w:rsid w:val="00285E5C"/>
    <w:rsid w:val="002F506E"/>
    <w:rsid w:val="00302A6D"/>
    <w:rsid w:val="00316FCE"/>
    <w:rsid w:val="00326FF8"/>
    <w:rsid w:val="00340C9F"/>
    <w:rsid w:val="00385A20"/>
    <w:rsid w:val="00396A53"/>
    <w:rsid w:val="003A40E6"/>
    <w:rsid w:val="003A4FCA"/>
    <w:rsid w:val="003A749B"/>
    <w:rsid w:val="003B27C5"/>
    <w:rsid w:val="00445D36"/>
    <w:rsid w:val="004468C5"/>
    <w:rsid w:val="004738CB"/>
    <w:rsid w:val="00482B31"/>
    <w:rsid w:val="004944DA"/>
    <w:rsid w:val="004F4F2B"/>
    <w:rsid w:val="00501A56"/>
    <w:rsid w:val="00507D7D"/>
    <w:rsid w:val="005102B0"/>
    <w:rsid w:val="00526FA8"/>
    <w:rsid w:val="00556A6F"/>
    <w:rsid w:val="005642FD"/>
    <w:rsid w:val="00581438"/>
    <w:rsid w:val="005838D1"/>
    <w:rsid w:val="005C255B"/>
    <w:rsid w:val="005F0B2B"/>
    <w:rsid w:val="00600C2A"/>
    <w:rsid w:val="0061149E"/>
    <w:rsid w:val="00617FF8"/>
    <w:rsid w:val="00672895"/>
    <w:rsid w:val="00684682"/>
    <w:rsid w:val="00691F66"/>
    <w:rsid w:val="00694DF1"/>
    <w:rsid w:val="006B1D7E"/>
    <w:rsid w:val="006D1EBA"/>
    <w:rsid w:val="00700D10"/>
    <w:rsid w:val="00725837"/>
    <w:rsid w:val="00731FB4"/>
    <w:rsid w:val="00741F31"/>
    <w:rsid w:val="007471BF"/>
    <w:rsid w:val="00764C75"/>
    <w:rsid w:val="007A0FA0"/>
    <w:rsid w:val="00804278"/>
    <w:rsid w:val="00887595"/>
    <w:rsid w:val="00892968"/>
    <w:rsid w:val="0089701C"/>
    <w:rsid w:val="00897E2D"/>
    <w:rsid w:val="008A3F26"/>
    <w:rsid w:val="008B1778"/>
    <w:rsid w:val="008C474A"/>
    <w:rsid w:val="008D4387"/>
    <w:rsid w:val="00903B6B"/>
    <w:rsid w:val="009235BB"/>
    <w:rsid w:val="0094110F"/>
    <w:rsid w:val="009566FC"/>
    <w:rsid w:val="0096725A"/>
    <w:rsid w:val="009865EE"/>
    <w:rsid w:val="009A11C8"/>
    <w:rsid w:val="009A5C2E"/>
    <w:rsid w:val="009B467D"/>
    <w:rsid w:val="009C244F"/>
    <w:rsid w:val="00A029D3"/>
    <w:rsid w:val="00A03456"/>
    <w:rsid w:val="00A42294"/>
    <w:rsid w:val="00A576E9"/>
    <w:rsid w:val="00A63BF1"/>
    <w:rsid w:val="00AA0BC7"/>
    <w:rsid w:val="00AA5773"/>
    <w:rsid w:val="00AA61BA"/>
    <w:rsid w:val="00AD2B2D"/>
    <w:rsid w:val="00AD5413"/>
    <w:rsid w:val="00B477BE"/>
    <w:rsid w:val="00BA23AB"/>
    <w:rsid w:val="00BA2F3A"/>
    <w:rsid w:val="00BB443B"/>
    <w:rsid w:val="00BC1D43"/>
    <w:rsid w:val="00BD3083"/>
    <w:rsid w:val="00BE09E7"/>
    <w:rsid w:val="00C03F12"/>
    <w:rsid w:val="00C450BE"/>
    <w:rsid w:val="00C5269E"/>
    <w:rsid w:val="00C7342E"/>
    <w:rsid w:val="00C871E0"/>
    <w:rsid w:val="00C95F70"/>
    <w:rsid w:val="00C97A0A"/>
    <w:rsid w:val="00CD0B68"/>
    <w:rsid w:val="00CD53CE"/>
    <w:rsid w:val="00CF1DF2"/>
    <w:rsid w:val="00CF6606"/>
    <w:rsid w:val="00D02DF1"/>
    <w:rsid w:val="00DB6103"/>
    <w:rsid w:val="00DC5F34"/>
    <w:rsid w:val="00DD540A"/>
    <w:rsid w:val="00DF29F0"/>
    <w:rsid w:val="00E14F86"/>
    <w:rsid w:val="00E20CA4"/>
    <w:rsid w:val="00E60CEE"/>
    <w:rsid w:val="00E71367"/>
    <w:rsid w:val="00E72853"/>
    <w:rsid w:val="00E747EE"/>
    <w:rsid w:val="00E8389B"/>
    <w:rsid w:val="00E9021F"/>
    <w:rsid w:val="00E90EFB"/>
    <w:rsid w:val="00EA4F02"/>
    <w:rsid w:val="00ED4D82"/>
    <w:rsid w:val="00F01433"/>
    <w:rsid w:val="00F15059"/>
    <w:rsid w:val="00F95C79"/>
    <w:rsid w:val="00FF0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D39D5"/>
  <w15:chartTrackingRefBased/>
  <w15:docId w15:val="{D533AF30-6CE4-43C6-8A36-2213D355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BF1"/>
    <w:rPr>
      <w:rFonts w:ascii="Calibri" w:hAnsi="Calibri" w:cs="Calibri"/>
      <w:sz w:val="22"/>
      <w:szCs w:val="22"/>
      <w:lang w:val="es-CO" w:eastAsia="es-CO"/>
    </w:rPr>
  </w:style>
  <w:style w:type="paragraph" w:styleId="Ttulo2">
    <w:name w:val="heading 2"/>
    <w:basedOn w:val="Normal"/>
    <w:next w:val="Normal"/>
    <w:link w:val="Ttulo2Car"/>
    <w:uiPriority w:val="9"/>
    <w:semiHidden/>
    <w:unhideWhenUsed/>
    <w:qFormat/>
    <w:rsid w:val="000E10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C4696"/>
    <w:pPr>
      <w:spacing w:before="100" w:beforeAutospacing="1" w:after="100" w:afterAutospacing="1"/>
      <w:outlineLvl w:val="2"/>
    </w:pPr>
    <w:rPr>
      <w:rFonts w:ascii="Times New Roman" w:hAnsi="Times New Roman" w:cs="Times New Roman"/>
      <w:b/>
      <w:bCs/>
      <w:sz w:val="27"/>
      <w:szCs w:val="27"/>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rPr>
      <w:rFonts w:asciiTheme="minorHAnsi" w:hAnsiTheme="minorHAnsi" w:cstheme="minorBidi"/>
      <w:sz w:val="24"/>
      <w:szCs w:val="24"/>
      <w:lang w:eastAsia="en-US"/>
    </w:r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rPr>
      <w:rFonts w:asciiTheme="minorHAnsi" w:hAnsiTheme="minorHAnsi" w:cstheme="minorBidi"/>
      <w:sz w:val="24"/>
      <w:szCs w:val="24"/>
      <w:lang w:eastAsia="en-US"/>
    </w:r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lang w:eastAsia="en-US"/>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rFonts w:ascii="Times New Roman" w:eastAsia="Times New Roman" w:hAnsi="Times New Roman" w:cs="Times New Roman"/>
    </w:rPr>
  </w:style>
  <w:style w:type="paragraph" w:styleId="Ttulo">
    <w:name w:val="Title"/>
    <w:basedOn w:val="Normal"/>
    <w:next w:val="Normal"/>
    <w:link w:val="TtuloCar"/>
    <w:uiPriority w:val="10"/>
    <w:qFormat/>
    <w:rsid w:val="00DB610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6103"/>
    <w:rPr>
      <w:rFonts w:asciiTheme="majorHAnsi" w:eastAsiaTheme="majorEastAsia" w:hAnsiTheme="majorHAnsi" w:cstheme="majorBidi"/>
      <w:spacing w:val="-10"/>
      <w:kern w:val="28"/>
      <w:sz w:val="56"/>
      <w:szCs w:val="56"/>
      <w:lang w:val="es-CO" w:eastAsia="es-CO"/>
    </w:rPr>
  </w:style>
  <w:style w:type="character" w:customStyle="1" w:styleId="Ttulo3Car">
    <w:name w:val="Título 3 Car"/>
    <w:basedOn w:val="Fuentedeprrafopredeter"/>
    <w:link w:val="Ttulo3"/>
    <w:uiPriority w:val="9"/>
    <w:rsid w:val="001C4696"/>
    <w:rPr>
      <w:rFonts w:ascii="Times New Roman" w:hAnsi="Times New Roman" w:cs="Times New Roman"/>
      <w:b/>
      <w:bCs/>
      <w:sz w:val="27"/>
      <w:szCs w:val="27"/>
      <w:lang w:val="es-ES_tradnl" w:eastAsia="es-ES_tradnl"/>
    </w:rPr>
  </w:style>
  <w:style w:type="paragraph" w:customStyle="1" w:styleId="adnarticulocompletop">
    <w:name w:val="adnarticulocompletop"/>
    <w:basedOn w:val="Normal"/>
    <w:rsid w:val="000E1029"/>
    <w:pPr>
      <w:spacing w:before="100" w:beforeAutospacing="1" w:after="100" w:afterAutospacing="1"/>
    </w:pPr>
    <w:rPr>
      <w:rFonts w:ascii="Verdana" w:eastAsia="Times New Roman" w:hAnsi="Verdana" w:cs="Times New Roman"/>
      <w:color w:val="000000"/>
      <w:lang w:val="es-ES" w:eastAsia="es-ES"/>
    </w:rPr>
  </w:style>
  <w:style w:type="paragraph" w:styleId="Prrafodelista">
    <w:name w:val="List Paragraph"/>
    <w:basedOn w:val="Normal"/>
    <w:uiPriority w:val="34"/>
    <w:qFormat/>
    <w:rsid w:val="000E1029"/>
    <w:pPr>
      <w:ind w:left="708"/>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0E1029"/>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0E1029"/>
    <w:rPr>
      <w:rFonts w:ascii="Times New Roman" w:eastAsia="Times New Roman" w:hAnsi="Times New Roman" w:cs="Times New Roman"/>
      <w:lang w:val="es-MX" w:eastAsia="es-MX"/>
    </w:rPr>
  </w:style>
  <w:style w:type="character" w:customStyle="1" w:styleId="Ttulo2Car">
    <w:name w:val="Título 2 Car"/>
    <w:basedOn w:val="Fuentedeprrafopredeter"/>
    <w:link w:val="Ttulo2"/>
    <w:uiPriority w:val="9"/>
    <w:semiHidden/>
    <w:rsid w:val="000E1029"/>
    <w:rPr>
      <w:rFonts w:asciiTheme="majorHAnsi" w:eastAsiaTheme="majorEastAsia" w:hAnsiTheme="majorHAnsi" w:cstheme="majorBidi"/>
      <w:color w:val="365F91" w:themeColor="accent1" w:themeShade="BF"/>
      <w:sz w:val="26"/>
      <w:szCs w:val="2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903565">
      <w:bodyDiv w:val="1"/>
      <w:marLeft w:val="0"/>
      <w:marRight w:val="0"/>
      <w:marTop w:val="0"/>
      <w:marBottom w:val="0"/>
      <w:divBdr>
        <w:top w:val="none" w:sz="0" w:space="0" w:color="auto"/>
        <w:left w:val="none" w:sz="0" w:space="0" w:color="auto"/>
        <w:bottom w:val="none" w:sz="0" w:space="0" w:color="auto"/>
        <w:right w:val="none" w:sz="0" w:space="0" w:color="auto"/>
      </w:divBdr>
    </w:div>
    <w:div w:id="968318801">
      <w:bodyDiv w:val="1"/>
      <w:marLeft w:val="0"/>
      <w:marRight w:val="0"/>
      <w:marTop w:val="0"/>
      <w:marBottom w:val="0"/>
      <w:divBdr>
        <w:top w:val="none" w:sz="0" w:space="0" w:color="auto"/>
        <w:left w:val="none" w:sz="0" w:space="0" w:color="auto"/>
        <w:bottom w:val="none" w:sz="0" w:space="0" w:color="auto"/>
        <w:right w:val="none" w:sz="0" w:space="0" w:color="auto"/>
      </w:divBdr>
    </w:div>
    <w:div w:id="1301106968">
      <w:bodyDiv w:val="1"/>
      <w:marLeft w:val="0"/>
      <w:marRight w:val="0"/>
      <w:marTop w:val="0"/>
      <w:marBottom w:val="0"/>
      <w:divBdr>
        <w:top w:val="none" w:sz="0" w:space="0" w:color="auto"/>
        <w:left w:val="none" w:sz="0" w:space="0" w:color="auto"/>
        <w:bottom w:val="none" w:sz="0" w:space="0" w:color="auto"/>
        <w:right w:val="none" w:sz="0" w:space="0" w:color="auto"/>
      </w:divBdr>
    </w:div>
    <w:div w:id="13075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2F06-090E-4D70-B4C1-FFB302D6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995</Words>
  <Characters>5674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Cristina Alzate Montoya</dc:creator>
  <cp:keywords/>
  <dc:description/>
  <cp:lastModifiedBy>Usuario</cp:lastModifiedBy>
  <cp:revision>10</cp:revision>
  <cp:lastPrinted>2022-09-21T16:36:00Z</cp:lastPrinted>
  <dcterms:created xsi:type="dcterms:W3CDTF">2025-12-03T18:58:00Z</dcterms:created>
  <dcterms:modified xsi:type="dcterms:W3CDTF">2025-12-04T17:44:00Z</dcterms:modified>
</cp:coreProperties>
</file>