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2886E84E"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5E5FA0">
        <w:rPr>
          <w:rFonts w:ascii="Arial" w:hAnsi="Arial" w:cs="Arial"/>
          <w:b/>
          <w:sz w:val="24"/>
          <w:szCs w:val="24"/>
          <w:lang w:val="es-MX"/>
        </w:rPr>
        <w:t>1</w:t>
      </w:r>
      <w:r w:rsidR="00464634">
        <w:rPr>
          <w:rFonts w:ascii="Arial" w:hAnsi="Arial" w:cs="Arial"/>
          <w:b/>
          <w:sz w:val="24"/>
          <w:szCs w:val="24"/>
          <w:lang w:val="es-MX"/>
        </w:rPr>
        <w:t>1</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88F0B9F"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464634" w:rsidRPr="00464634">
        <w:rPr>
          <w:rFonts w:eastAsia="Times New Roman"/>
          <w:color w:val="000000"/>
          <w:lang w:val="es-CO"/>
        </w:rPr>
        <w:t>JAIRO ATEHORTUA</w:t>
      </w:r>
      <w:r w:rsidR="00464634">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23" w:type="dxa"/>
        <w:tblCellMar>
          <w:left w:w="70" w:type="dxa"/>
          <w:right w:w="70" w:type="dxa"/>
        </w:tblCellMar>
        <w:tblLook w:val="04A0" w:firstRow="1" w:lastRow="0" w:firstColumn="1" w:lastColumn="0" w:noHBand="0" w:noVBand="1"/>
      </w:tblPr>
      <w:tblGrid>
        <w:gridCol w:w="1452"/>
        <w:gridCol w:w="1259"/>
        <w:gridCol w:w="1554"/>
        <w:gridCol w:w="646"/>
        <w:gridCol w:w="714"/>
        <w:gridCol w:w="896"/>
        <w:gridCol w:w="669"/>
        <w:gridCol w:w="1633"/>
      </w:tblGrid>
      <w:tr w:rsidR="00464634" w:rsidRPr="00464634" w14:paraId="39F27F4E" w14:textId="77777777" w:rsidTr="00464634">
        <w:trPr>
          <w:trHeight w:val="341"/>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14:paraId="00B1E915" w14:textId="77777777" w:rsidR="00464634" w:rsidRPr="00464634" w:rsidRDefault="00464634" w:rsidP="00464634">
            <w:pPr>
              <w:spacing w:after="0" w:line="240" w:lineRule="auto"/>
              <w:jc w:val="center"/>
              <w:rPr>
                <w:rFonts w:eastAsia="Times New Roman"/>
                <w:color w:val="000000"/>
                <w:lang w:val="es-CO"/>
              </w:rPr>
            </w:pPr>
            <w:bookmarkStart w:id="0" w:name="_Hlk219747630"/>
            <w:r w:rsidRPr="00464634">
              <w:rPr>
                <w:rFonts w:eastAsia="Times New Roman"/>
                <w:color w:val="000000"/>
                <w:lang w:val="es-CO"/>
              </w:rPr>
              <w:t>JAIRO ATEHORTUA</w:t>
            </w:r>
            <w:bookmarkEnd w:id="0"/>
          </w:p>
        </w:tc>
        <w:tc>
          <w:tcPr>
            <w:tcW w:w="1259" w:type="dxa"/>
            <w:tcBorders>
              <w:top w:val="single" w:sz="4" w:space="0" w:color="auto"/>
              <w:left w:val="nil"/>
              <w:bottom w:val="single" w:sz="4" w:space="0" w:color="auto"/>
              <w:right w:val="single" w:sz="4" w:space="0" w:color="auto"/>
            </w:tcBorders>
            <w:noWrap/>
            <w:vAlign w:val="center"/>
            <w:hideMark/>
          </w:tcPr>
          <w:p w14:paraId="44477B2F"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ED FISICA</w:t>
            </w:r>
          </w:p>
        </w:tc>
        <w:tc>
          <w:tcPr>
            <w:tcW w:w="1554" w:type="dxa"/>
            <w:tcBorders>
              <w:top w:val="single" w:sz="4" w:space="0" w:color="auto"/>
              <w:left w:val="nil"/>
              <w:bottom w:val="single" w:sz="4" w:space="0" w:color="auto"/>
              <w:right w:val="single" w:sz="4" w:space="0" w:color="auto"/>
            </w:tcBorders>
            <w:vAlign w:val="center"/>
            <w:hideMark/>
          </w:tcPr>
          <w:p w14:paraId="054D8887"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 xml:space="preserve"> 6B-7A-B</w:t>
            </w:r>
            <w:proofErr w:type="gramStart"/>
            <w:r w:rsidRPr="00464634">
              <w:rPr>
                <w:rFonts w:eastAsia="Times New Roman"/>
                <w:color w:val="000000"/>
                <w:lang w:val="es-CO"/>
              </w:rPr>
              <w:t>-  8</w:t>
            </w:r>
            <w:proofErr w:type="gramEnd"/>
            <w:r w:rsidRPr="00464634">
              <w:rPr>
                <w:rFonts w:eastAsia="Times New Roman"/>
                <w:color w:val="000000"/>
                <w:lang w:val="es-CO"/>
              </w:rPr>
              <w:t>A-B   9A-B</w:t>
            </w:r>
          </w:p>
        </w:tc>
        <w:tc>
          <w:tcPr>
            <w:tcW w:w="646" w:type="dxa"/>
            <w:tcBorders>
              <w:top w:val="single" w:sz="4" w:space="0" w:color="auto"/>
              <w:left w:val="nil"/>
              <w:bottom w:val="single" w:sz="4" w:space="0" w:color="auto"/>
              <w:right w:val="single" w:sz="4" w:space="0" w:color="auto"/>
            </w:tcBorders>
            <w:noWrap/>
            <w:vAlign w:val="center"/>
            <w:hideMark/>
          </w:tcPr>
          <w:p w14:paraId="0A7B68CE"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14</w:t>
            </w:r>
          </w:p>
        </w:tc>
        <w:tc>
          <w:tcPr>
            <w:tcW w:w="714" w:type="dxa"/>
            <w:vMerge w:val="restart"/>
            <w:tcBorders>
              <w:top w:val="single" w:sz="4" w:space="0" w:color="auto"/>
              <w:left w:val="single" w:sz="4" w:space="0" w:color="auto"/>
              <w:bottom w:val="nil"/>
              <w:right w:val="nil"/>
            </w:tcBorders>
            <w:shd w:val="clear" w:color="000000" w:fill="F8CBAD"/>
            <w:noWrap/>
            <w:vAlign w:val="center"/>
            <w:hideMark/>
          </w:tcPr>
          <w:p w14:paraId="3B705E6F"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22</w:t>
            </w:r>
          </w:p>
        </w:tc>
        <w:tc>
          <w:tcPr>
            <w:tcW w:w="896" w:type="dxa"/>
            <w:vMerge w:val="restart"/>
            <w:tcBorders>
              <w:top w:val="single" w:sz="4" w:space="0" w:color="auto"/>
              <w:left w:val="nil"/>
              <w:bottom w:val="nil"/>
              <w:right w:val="nil"/>
            </w:tcBorders>
            <w:shd w:val="clear" w:color="000000" w:fill="C6E0B4"/>
            <w:noWrap/>
            <w:vAlign w:val="center"/>
            <w:hideMark/>
          </w:tcPr>
          <w:p w14:paraId="60E3999F"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T LIBRE</w:t>
            </w:r>
          </w:p>
        </w:tc>
        <w:tc>
          <w:tcPr>
            <w:tcW w:w="669" w:type="dxa"/>
            <w:vMerge w:val="restart"/>
            <w:tcBorders>
              <w:top w:val="single" w:sz="4" w:space="0" w:color="auto"/>
              <w:left w:val="nil"/>
              <w:bottom w:val="nil"/>
              <w:right w:val="nil"/>
            </w:tcBorders>
            <w:noWrap/>
            <w:vAlign w:val="center"/>
            <w:hideMark/>
          </w:tcPr>
          <w:p w14:paraId="168945AD"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0</w:t>
            </w:r>
          </w:p>
        </w:tc>
        <w:tc>
          <w:tcPr>
            <w:tcW w:w="1633" w:type="dxa"/>
            <w:tcBorders>
              <w:top w:val="nil"/>
              <w:left w:val="nil"/>
              <w:bottom w:val="nil"/>
              <w:right w:val="nil"/>
            </w:tcBorders>
            <w:shd w:val="clear" w:color="000000" w:fill="FFFF00"/>
            <w:noWrap/>
            <w:vAlign w:val="center"/>
            <w:hideMark/>
          </w:tcPr>
          <w:p w14:paraId="2B42BA51"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SALUDARTE</w:t>
            </w:r>
          </w:p>
        </w:tc>
      </w:tr>
      <w:tr w:rsidR="00464634" w:rsidRPr="00464634" w14:paraId="7837868E" w14:textId="77777777" w:rsidTr="00464634">
        <w:trPr>
          <w:trHeight w:val="341"/>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270AB0EC" w14:textId="77777777" w:rsidR="00464634" w:rsidRPr="00464634" w:rsidRDefault="00464634" w:rsidP="00464634">
            <w:pPr>
              <w:spacing w:after="0" w:line="240" w:lineRule="auto"/>
              <w:rPr>
                <w:rFonts w:eastAsia="Times New Roman"/>
                <w:color w:val="000000"/>
                <w:lang w:val="es-CO"/>
              </w:rPr>
            </w:pPr>
          </w:p>
        </w:tc>
        <w:tc>
          <w:tcPr>
            <w:tcW w:w="1259" w:type="dxa"/>
            <w:tcBorders>
              <w:top w:val="nil"/>
              <w:left w:val="nil"/>
              <w:bottom w:val="single" w:sz="4" w:space="0" w:color="auto"/>
              <w:right w:val="single" w:sz="4" w:space="0" w:color="auto"/>
            </w:tcBorders>
            <w:noWrap/>
            <w:vAlign w:val="center"/>
            <w:hideMark/>
          </w:tcPr>
          <w:p w14:paraId="6032228D"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ED FISICA</w:t>
            </w:r>
          </w:p>
        </w:tc>
        <w:tc>
          <w:tcPr>
            <w:tcW w:w="1554" w:type="dxa"/>
            <w:tcBorders>
              <w:top w:val="nil"/>
              <w:left w:val="nil"/>
              <w:bottom w:val="single" w:sz="4" w:space="0" w:color="auto"/>
              <w:right w:val="single" w:sz="4" w:space="0" w:color="auto"/>
            </w:tcBorders>
            <w:vAlign w:val="center"/>
            <w:hideMark/>
          </w:tcPr>
          <w:p w14:paraId="7E646CBC"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10A-B   11A-B</w:t>
            </w:r>
          </w:p>
        </w:tc>
        <w:tc>
          <w:tcPr>
            <w:tcW w:w="646" w:type="dxa"/>
            <w:tcBorders>
              <w:top w:val="nil"/>
              <w:left w:val="nil"/>
              <w:bottom w:val="single" w:sz="4" w:space="0" w:color="auto"/>
              <w:right w:val="single" w:sz="4" w:space="0" w:color="auto"/>
            </w:tcBorders>
            <w:noWrap/>
            <w:vAlign w:val="center"/>
            <w:hideMark/>
          </w:tcPr>
          <w:p w14:paraId="6DAC6F9D"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8</w:t>
            </w:r>
          </w:p>
        </w:tc>
        <w:tc>
          <w:tcPr>
            <w:tcW w:w="714" w:type="dxa"/>
            <w:vMerge/>
            <w:tcBorders>
              <w:top w:val="single" w:sz="4" w:space="0" w:color="auto"/>
              <w:left w:val="single" w:sz="4" w:space="0" w:color="auto"/>
              <w:bottom w:val="nil"/>
              <w:right w:val="nil"/>
            </w:tcBorders>
            <w:vAlign w:val="center"/>
            <w:hideMark/>
          </w:tcPr>
          <w:p w14:paraId="0B42DC0A" w14:textId="77777777" w:rsidR="00464634" w:rsidRPr="00464634" w:rsidRDefault="00464634" w:rsidP="00464634">
            <w:pPr>
              <w:spacing w:after="0" w:line="240" w:lineRule="auto"/>
              <w:rPr>
                <w:rFonts w:eastAsia="Times New Roman"/>
                <w:color w:val="000000"/>
                <w:lang w:val="es-CO"/>
              </w:rPr>
            </w:pPr>
          </w:p>
        </w:tc>
        <w:tc>
          <w:tcPr>
            <w:tcW w:w="896" w:type="dxa"/>
            <w:vMerge/>
            <w:tcBorders>
              <w:top w:val="single" w:sz="4" w:space="0" w:color="auto"/>
              <w:left w:val="nil"/>
              <w:bottom w:val="nil"/>
              <w:right w:val="nil"/>
            </w:tcBorders>
            <w:vAlign w:val="center"/>
            <w:hideMark/>
          </w:tcPr>
          <w:p w14:paraId="1F0024CE" w14:textId="77777777" w:rsidR="00464634" w:rsidRPr="00464634" w:rsidRDefault="00464634" w:rsidP="00464634">
            <w:pPr>
              <w:spacing w:after="0" w:line="240" w:lineRule="auto"/>
              <w:rPr>
                <w:rFonts w:eastAsia="Times New Roman"/>
                <w:color w:val="000000"/>
                <w:lang w:val="es-CO"/>
              </w:rPr>
            </w:pPr>
          </w:p>
        </w:tc>
        <w:tc>
          <w:tcPr>
            <w:tcW w:w="669" w:type="dxa"/>
            <w:vMerge/>
            <w:tcBorders>
              <w:top w:val="single" w:sz="4" w:space="0" w:color="auto"/>
              <w:left w:val="nil"/>
              <w:bottom w:val="nil"/>
              <w:right w:val="nil"/>
            </w:tcBorders>
            <w:vAlign w:val="center"/>
            <w:hideMark/>
          </w:tcPr>
          <w:p w14:paraId="6390BD03" w14:textId="77777777" w:rsidR="00464634" w:rsidRPr="00464634" w:rsidRDefault="00464634" w:rsidP="00464634">
            <w:pPr>
              <w:spacing w:after="0" w:line="240" w:lineRule="auto"/>
              <w:rPr>
                <w:rFonts w:eastAsia="Times New Roman"/>
                <w:color w:val="000000"/>
                <w:lang w:val="es-CO"/>
              </w:rPr>
            </w:pPr>
          </w:p>
        </w:tc>
        <w:tc>
          <w:tcPr>
            <w:tcW w:w="1633" w:type="dxa"/>
            <w:tcBorders>
              <w:top w:val="nil"/>
              <w:left w:val="nil"/>
              <w:bottom w:val="nil"/>
              <w:right w:val="nil"/>
            </w:tcBorders>
            <w:noWrap/>
            <w:vAlign w:val="center"/>
            <w:hideMark/>
          </w:tcPr>
          <w:p w14:paraId="42B0158C" w14:textId="77777777" w:rsidR="00464634" w:rsidRPr="00464634" w:rsidRDefault="00464634" w:rsidP="00464634">
            <w:pPr>
              <w:spacing w:after="0" w:line="240" w:lineRule="auto"/>
              <w:jc w:val="center"/>
              <w:rPr>
                <w:rFonts w:eastAsia="Times New Roman"/>
                <w:color w:val="000000"/>
                <w:lang w:val="es-CO"/>
              </w:rPr>
            </w:pPr>
          </w:p>
        </w:tc>
      </w:tr>
      <w:tr w:rsidR="00464634" w:rsidRPr="00464634" w14:paraId="3C8DC2BB" w14:textId="77777777" w:rsidTr="00464634">
        <w:trPr>
          <w:trHeight w:val="341"/>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0531E89B" w14:textId="77777777" w:rsidR="00464634" w:rsidRPr="00464634" w:rsidRDefault="00464634" w:rsidP="00464634">
            <w:pPr>
              <w:spacing w:after="0" w:line="240" w:lineRule="auto"/>
              <w:rPr>
                <w:rFonts w:eastAsia="Times New Roman"/>
                <w:color w:val="000000"/>
                <w:lang w:val="es-CO"/>
              </w:rPr>
            </w:pPr>
          </w:p>
        </w:tc>
        <w:tc>
          <w:tcPr>
            <w:tcW w:w="1259" w:type="dxa"/>
            <w:tcBorders>
              <w:top w:val="nil"/>
              <w:left w:val="nil"/>
              <w:bottom w:val="single" w:sz="4" w:space="0" w:color="auto"/>
              <w:right w:val="single" w:sz="4" w:space="0" w:color="auto"/>
            </w:tcBorders>
            <w:noWrap/>
            <w:vAlign w:val="center"/>
            <w:hideMark/>
          </w:tcPr>
          <w:p w14:paraId="66B52EE4"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 xml:space="preserve">PROYECTO </w:t>
            </w:r>
          </w:p>
        </w:tc>
        <w:tc>
          <w:tcPr>
            <w:tcW w:w="1554" w:type="dxa"/>
            <w:tcBorders>
              <w:top w:val="nil"/>
              <w:left w:val="nil"/>
              <w:bottom w:val="single" w:sz="4" w:space="0" w:color="auto"/>
              <w:right w:val="single" w:sz="4" w:space="0" w:color="auto"/>
            </w:tcBorders>
            <w:vAlign w:val="center"/>
            <w:hideMark/>
          </w:tcPr>
          <w:p w14:paraId="4FD4BD97"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2F7A1EC0"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 </w:t>
            </w:r>
          </w:p>
        </w:tc>
        <w:tc>
          <w:tcPr>
            <w:tcW w:w="714" w:type="dxa"/>
            <w:vMerge/>
            <w:tcBorders>
              <w:top w:val="single" w:sz="4" w:space="0" w:color="auto"/>
              <w:left w:val="single" w:sz="4" w:space="0" w:color="auto"/>
              <w:bottom w:val="nil"/>
              <w:right w:val="nil"/>
            </w:tcBorders>
            <w:vAlign w:val="center"/>
            <w:hideMark/>
          </w:tcPr>
          <w:p w14:paraId="7AFA7DDE" w14:textId="77777777" w:rsidR="00464634" w:rsidRPr="00464634" w:rsidRDefault="00464634" w:rsidP="00464634">
            <w:pPr>
              <w:spacing w:after="0" w:line="240" w:lineRule="auto"/>
              <w:rPr>
                <w:rFonts w:eastAsia="Times New Roman"/>
                <w:color w:val="000000"/>
                <w:lang w:val="es-CO"/>
              </w:rPr>
            </w:pPr>
          </w:p>
        </w:tc>
        <w:tc>
          <w:tcPr>
            <w:tcW w:w="896" w:type="dxa"/>
            <w:vMerge/>
            <w:tcBorders>
              <w:top w:val="single" w:sz="4" w:space="0" w:color="auto"/>
              <w:left w:val="nil"/>
              <w:bottom w:val="nil"/>
              <w:right w:val="nil"/>
            </w:tcBorders>
            <w:vAlign w:val="center"/>
            <w:hideMark/>
          </w:tcPr>
          <w:p w14:paraId="76BBB0D8" w14:textId="77777777" w:rsidR="00464634" w:rsidRPr="00464634" w:rsidRDefault="00464634" w:rsidP="00464634">
            <w:pPr>
              <w:spacing w:after="0" w:line="240" w:lineRule="auto"/>
              <w:rPr>
                <w:rFonts w:eastAsia="Times New Roman"/>
                <w:color w:val="000000"/>
                <w:lang w:val="es-CO"/>
              </w:rPr>
            </w:pPr>
          </w:p>
        </w:tc>
        <w:tc>
          <w:tcPr>
            <w:tcW w:w="669" w:type="dxa"/>
            <w:vMerge/>
            <w:tcBorders>
              <w:top w:val="single" w:sz="4" w:space="0" w:color="auto"/>
              <w:left w:val="nil"/>
              <w:bottom w:val="nil"/>
              <w:right w:val="nil"/>
            </w:tcBorders>
            <w:vAlign w:val="center"/>
            <w:hideMark/>
          </w:tcPr>
          <w:p w14:paraId="197C50C6" w14:textId="77777777" w:rsidR="00464634" w:rsidRPr="00464634" w:rsidRDefault="00464634" w:rsidP="00464634">
            <w:pPr>
              <w:spacing w:after="0" w:line="240" w:lineRule="auto"/>
              <w:rPr>
                <w:rFonts w:eastAsia="Times New Roman"/>
                <w:color w:val="000000"/>
                <w:lang w:val="es-CO"/>
              </w:rPr>
            </w:pPr>
          </w:p>
        </w:tc>
        <w:tc>
          <w:tcPr>
            <w:tcW w:w="1633" w:type="dxa"/>
            <w:tcBorders>
              <w:top w:val="nil"/>
              <w:left w:val="nil"/>
              <w:bottom w:val="nil"/>
              <w:right w:val="nil"/>
            </w:tcBorders>
            <w:noWrap/>
            <w:vAlign w:val="center"/>
            <w:hideMark/>
          </w:tcPr>
          <w:p w14:paraId="51336A9C" w14:textId="77777777" w:rsidR="00464634" w:rsidRPr="00464634" w:rsidRDefault="00464634" w:rsidP="00464634">
            <w:pPr>
              <w:spacing w:after="0" w:line="240" w:lineRule="auto"/>
              <w:jc w:val="center"/>
              <w:rPr>
                <w:rFonts w:eastAsia="Times New Roman"/>
                <w:color w:val="000000"/>
                <w:lang w:val="es-CO"/>
              </w:rPr>
            </w:pPr>
          </w:p>
        </w:tc>
      </w:tr>
      <w:tr w:rsidR="00464634" w:rsidRPr="00464634" w14:paraId="76CBB701" w14:textId="77777777" w:rsidTr="00464634">
        <w:trPr>
          <w:trHeight w:val="341"/>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25745488" w14:textId="77777777" w:rsidR="00464634" w:rsidRPr="00464634" w:rsidRDefault="00464634" w:rsidP="00464634">
            <w:pPr>
              <w:spacing w:after="0" w:line="240" w:lineRule="auto"/>
              <w:rPr>
                <w:rFonts w:eastAsia="Times New Roman"/>
                <w:color w:val="000000"/>
                <w:lang w:val="es-CO"/>
              </w:rPr>
            </w:pPr>
          </w:p>
        </w:tc>
        <w:tc>
          <w:tcPr>
            <w:tcW w:w="1259" w:type="dxa"/>
            <w:tcBorders>
              <w:top w:val="nil"/>
              <w:left w:val="nil"/>
              <w:bottom w:val="single" w:sz="4" w:space="0" w:color="auto"/>
              <w:right w:val="single" w:sz="4" w:space="0" w:color="auto"/>
            </w:tcBorders>
            <w:noWrap/>
            <w:vAlign w:val="center"/>
            <w:hideMark/>
          </w:tcPr>
          <w:p w14:paraId="7ADB9BA7"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 </w:t>
            </w:r>
          </w:p>
        </w:tc>
        <w:tc>
          <w:tcPr>
            <w:tcW w:w="1554" w:type="dxa"/>
            <w:tcBorders>
              <w:top w:val="nil"/>
              <w:left w:val="nil"/>
              <w:bottom w:val="single" w:sz="4" w:space="0" w:color="auto"/>
              <w:right w:val="single" w:sz="4" w:space="0" w:color="auto"/>
            </w:tcBorders>
            <w:vAlign w:val="center"/>
            <w:hideMark/>
          </w:tcPr>
          <w:p w14:paraId="55EF42FD" w14:textId="77777777" w:rsidR="00464634" w:rsidRPr="00464634" w:rsidRDefault="00464634" w:rsidP="00464634">
            <w:pPr>
              <w:spacing w:after="0" w:line="240" w:lineRule="auto"/>
              <w:rPr>
                <w:rFonts w:eastAsia="Times New Roman"/>
                <w:color w:val="000000"/>
                <w:lang w:val="es-CO"/>
              </w:rPr>
            </w:pPr>
            <w:r w:rsidRPr="00464634">
              <w:rPr>
                <w:rFonts w:eastAsia="Times New Roman"/>
                <w:color w:val="000000"/>
                <w:lang w:val="es-CO"/>
              </w:rPr>
              <w:t> </w:t>
            </w:r>
          </w:p>
        </w:tc>
        <w:tc>
          <w:tcPr>
            <w:tcW w:w="646" w:type="dxa"/>
            <w:tcBorders>
              <w:top w:val="nil"/>
              <w:left w:val="nil"/>
              <w:bottom w:val="single" w:sz="4" w:space="0" w:color="auto"/>
              <w:right w:val="single" w:sz="4" w:space="0" w:color="auto"/>
            </w:tcBorders>
            <w:noWrap/>
            <w:vAlign w:val="center"/>
            <w:hideMark/>
          </w:tcPr>
          <w:p w14:paraId="56E9BE59" w14:textId="77777777" w:rsidR="00464634" w:rsidRPr="00464634" w:rsidRDefault="00464634" w:rsidP="00464634">
            <w:pPr>
              <w:spacing w:after="0" w:line="240" w:lineRule="auto"/>
              <w:jc w:val="center"/>
              <w:rPr>
                <w:rFonts w:eastAsia="Times New Roman"/>
                <w:color w:val="000000"/>
                <w:lang w:val="es-CO"/>
              </w:rPr>
            </w:pPr>
            <w:r w:rsidRPr="00464634">
              <w:rPr>
                <w:rFonts w:eastAsia="Times New Roman"/>
                <w:color w:val="000000"/>
                <w:lang w:val="es-CO"/>
              </w:rPr>
              <w:t> </w:t>
            </w:r>
          </w:p>
        </w:tc>
        <w:tc>
          <w:tcPr>
            <w:tcW w:w="714" w:type="dxa"/>
            <w:vMerge/>
            <w:tcBorders>
              <w:top w:val="single" w:sz="4" w:space="0" w:color="auto"/>
              <w:left w:val="single" w:sz="4" w:space="0" w:color="auto"/>
              <w:bottom w:val="nil"/>
              <w:right w:val="nil"/>
            </w:tcBorders>
            <w:vAlign w:val="center"/>
            <w:hideMark/>
          </w:tcPr>
          <w:p w14:paraId="60383F63" w14:textId="77777777" w:rsidR="00464634" w:rsidRPr="00464634" w:rsidRDefault="00464634" w:rsidP="00464634">
            <w:pPr>
              <w:spacing w:after="0" w:line="240" w:lineRule="auto"/>
              <w:rPr>
                <w:rFonts w:eastAsia="Times New Roman"/>
                <w:color w:val="000000"/>
                <w:lang w:val="es-CO"/>
              </w:rPr>
            </w:pPr>
          </w:p>
        </w:tc>
        <w:tc>
          <w:tcPr>
            <w:tcW w:w="896" w:type="dxa"/>
            <w:vMerge/>
            <w:tcBorders>
              <w:top w:val="single" w:sz="4" w:space="0" w:color="auto"/>
              <w:left w:val="nil"/>
              <w:bottom w:val="nil"/>
              <w:right w:val="nil"/>
            </w:tcBorders>
            <w:vAlign w:val="center"/>
            <w:hideMark/>
          </w:tcPr>
          <w:p w14:paraId="68E497BF" w14:textId="77777777" w:rsidR="00464634" w:rsidRPr="00464634" w:rsidRDefault="00464634" w:rsidP="00464634">
            <w:pPr>
              <w:spacing w:after="0" w:line="240" w:lineRule="auto"/>
              <w:rPr>
                <w:rFonts w:eastAsia="Times New Roman"/>
                <w:color w:val="000000"/>
                <w:lang w:val="es-CO"/>
              </w:rPr>
            </w:pPr>
          </w:p>
        </w:tc>
        <w:tc>
          <w:tcPr>
            <w:tcW w:w="669" w:type="dxa"/>
            <w:vMerge/>
            <w:tcBorders>
              <w:top w:val="single" w:sz="4" w:space="0" w:color="auto"/>
              <w:left w:val="nil"/>
              <w:bottom w:val="nil"/>
              <w:right w:val="nil"/>
            </w:tcBorders>
            <w:vAlign w:val="center"/>
            <w:hideMark/>
          </w:tcPr>
          <w:p w14:paraId="249E71F9" w14:textId="77777777" w:rsidR="00464634" w:rsidRPr="00464634" w:rsidRDefault="00464634" w:rsidP="00464634">
            <w:pPr>
              <w:spacing w:after="0" w:line="240" w:lineRule="auto"/>
              <w:rPr>
                <w:rFonts w:eastAsia="Times New Roman"/>
                <w:color w:val="000000"/>
                <w:lang w:val="es-CO"/>
              </w:rPr>
            </w:pPr>
          </w:p>
        </w:tc>
        <w:tc>
          <w:tcPr>
            <w:tcW w:w="1633" w:type="dxa"/>
            <w:tcBorders>
              <w:top w:val="nil"/>
              <w:left w:val="nil"/>
              <w:bottom w:val="nil"/>
              <w:right w:val="nil"/>
            </w:tcBorders>
            <w:noWrap/>
            <w:vAlign w:val="center"/>
            <w:hideMark/>
          </w:tcPr>
          <w:p w14:paraId="6D873366" w14:textId="77777777" w:rsidR="00464634" w:rsidRPr="00464634" w:rsidRDefault="00464634" w:rsidP="00464634">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D8279" w14:textId="77777777" w:rsidR="00917195" w:rsidRDefault="00917195">
      <w:pPr>
        <w:spacing w:after="0" w:line="240" w:lineRule="auto"/>
      </w:pPr>
      <w:r>
        <w:separator/>
      </w:r>
    </w:p>
  </w:endnote>
  <w:endnote w:type="continuationSeparator" w:id="0">
    <w:p w14:paraId="7C952A78" w14:textId="77777777" w:rsidR="00917195" w:rsidRDefault="0091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F8C2" w14:textId="77777777" w:rsidR="00917195" w:rsidRDefault="00917195">
      <w:pPr>
        <w:spacing w:after="0" w:line="240" w:lineRule="auto"/>
      </w:pPr>
      <w:r>
        <w:separator/>
      </w:r>
    </w:p>
  </w:footnote>
  <w:footnote w:type="continuationSeparator" w:id="0">
    <w:p w14:paraId="0ED97796" w14:textId="77777777" w:rsidR="00917195" w:rsidRDefault="0091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7A02"/>
    <w:rsid w:val="00406356"/>
    <w:rsid w:val="004255FB"/>
    <w:rsid w:val="00464634"/>
    <w:rsid w:val="004C5526"/>
    <w:rsid w:val="004E05E3"/>
    <w:rsid w:val="00541937"/>
    <w:rsid w:val="00585D21"/>
    <w:rsid w:val="005C56DF"/>
    <w:rsid w:val="005E5FA0"/>
    <w:rsid w:val="0066385F"/>
    <w:rsid w:val="00691B04"/>
    <w:rsid w:val="0075068B"/>
    <w:rsid w:val="00753803"/>
    <w:rsid w:val="007701EB"/>
    <w:rsid w:val="00773F6D"/>
    <w:rsid w:val="0078584A"/>
    <w:rsid w:val="007C69A7"/>
    <w:rsid w:val="00890FCB"/>
    <w:rsid w:val="008937ED"/>
    <w:rsid w:val="008F1EB6"/>
    <w:rsid w:val="008F7415"/>
    <w:rsid w:val="00917195"/>
    <w:rsid w:val="00933154"/>
    <w:rsid w:val="00936C95"/>
    <w:rsid w:val="0099760C"/>
    <w:rsid w:val="009A0331"/>
    <w:rsid w:val="009C7EDC"/>
    <w:rsid w:val="00A150F0"/>
    <w:rsid w:val="00A50DAC"/>
    <w:rsid w:val="00AA1DE9"/>
    <w:rsid w:val="00AE0E98"/>
    <w:rsid w:val="00B27580"/>
    <w:rsid w:val="00B3046B"/>
    <w:rsid w:val="00B754E1"/>
    <w:rsid w:val="00BD3AA1"/>
    <w:rsid w:val="00BE09AF"/>
    <w:rsid w:val="00C0637A"/>
    <w:rsid w:val="00CF06AB"/>
    <w:rsid w:val="00D01E39"/>
    <w:rsid w:val="00D56307"/>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6013</Characters>
  <Application>Microsoft Office Word</Application>
  <DocSecurity>0</DocSecurity>
  <Lines>171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2026-01-20T01:40:00Z</dcterms:created>
  <dcterms:modified xsi:type="dcterms:W3CDTF">2026-01-20T01:40:00Z</dcterms:modified>
</cp:coreProperties>
</file>