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2D" w:rsidRPr="00C9370C" w:rsidRDefault="003C742D" w:rsidP="003C742D">
      <w:pPr>
        <w:jc w:val="center"/>
        <w:rPr>
          <w:rFonts w:ascii="Arial" w:eastAsia="Arial" w:hAnsi="Arial" w:cs="Arial"/>
          <w:b/>
          <w:lang w:val="es-419"/>
        </w:rPr>
      </w:pPr>
      <w:bookmarkStart w:id="0" w:name="_GoBack"/>
      <w:r w:rsidRPr="00C9370C">
        <w:rPr>
          <w:rFonts w:ascii="Arial" w:eastAsia="Arial" w:hAnsi="Arial" w:cs="Arial"/>
          <w:b/>
          <w:lang w:val="es-MX"/>
        </w:rPr>
        <w:t>RESOLUCIÓN RECTORAL  10</w:t>
      </w:r>
    </w:p>
    <w:p w:rsidR="003C742D" w:rsidRPr="00C9370C" w:rsidRDefault="003C742D" w:rsidP="003C742D">
      <w:pPr>
        <w:jc w:val="center"/>
        <w:rPr>
          <w:rFonts w:ascii="Arial" w:eastAsia="Arial" w:hAnsi="Arial" w:cs="Arial"/>
          <w:b/>
          <w:lang w:val="es-MX"/>
        </w:rPr>
      </w:pPr>
      <w:r w:rsidRPr="00C9370C">
        <w:rPr>
          <w:rFonts w:ascii="Arial" w:eastAsia="Arial" w:hAnsi="Arial" w:cs="Arial"/>
          <w:b/>
          <w:lang w:val="es-419"/>
        </w:rPr>
        <w:t>Marzo 5</w:t>
      </w:r>
      <w:r w:rsidRPr="00C9370C">
        <w:rPr>
          <w:rFonts w:ascii="Arial" w:eastAsia="Arial" w:hAnsi="Arial" w:cs="Arial"/>
          <w:b/>
          <w:lang w:val="es-MX"/>
        </w:rPr>
        <w:t xml:space="preserve"> de 2025</w:t>
      </w:r>
    </w:p>
    <w:p w:rsidR="003C742D" w:rsidRPr="00C9370C" w:rsidRDefault="003C742D" w:rsidP="003C742D">
      <w:pPr>
        <w:jc w:val="center"/>
        <w:rPr>
          <w:rFonts w:ascii="Arial" w:eastAsia="Arial" w:hAnsi="Arial" w:cs="Arial"/>
          <w:b/>
          <w:lang w:val="es-MX"/>
        </w:rPr>
      </w:pPr>
    </w:p>
    <w:p w:rsidR="0064202F" w:rsidRPr="00C9370C" w:rsidRDefault="0064202F" w:rsidP="00717527">
      <w:pPr>
        <w:jc w:val="center"/>
        <w:rPr>
          <w:rFonts w:ascii="Arial" w:eastAsia="Arial" w:hAnsi="Arial" w:cs="Arial"/>
          <w:b/>
        </w:rPr>
      </w:pPr>
      <w:r w:rsidRPr="00C9370C">
        <w:rPr>
          <w:rFonts w:ascii="Arial" w:eastAsia="Arial" w:hAnsi="Arial" w:cs="Arial"/>
          <w:b/>
        </w:rPr>
        <w:t>Por</w:t>
      </w:r>
      <w:r w:rsidR="00717527" w:rsidRPr="00C9370C">
        <w:rPr>
          <w:rFonts w:ascii="Arial" w:eastAsia="Arial" w:hAnsi="Arial" w:cs="Arial"/>
          <w:b/>
        </w:rPr>
        <w:t xml:space="preserve"> medio</w:t>
      </w:r>
      <w:r w:rsidRPr="00C9370C">
        <w:rPr>
          <w:rFonts w:ascii="Arial" w:eastAsia="Arial" w:hAnsi="Arial" w:cs="Arial"/>
          <w:b/>
        </w:rPr>
        <w:t xml:space="preserve"> </w:t>
      </w:r>
      <w:r w:rsidR="00717527" w:rsidRPr="00C9370C">
        <w:rPr>
          <w:rFonts w:ascii="Arial" w:eastAsia="Arial" w:hAnsi="Arial" w:cs="Arial"/>
          <w:b/>
        </w:rPr>
        <w:t>d</w:t>
      </w:r>
      <w:r w:rsidRPr="00C9370C">
        <w:rPr>
          <w:rFonts w:ascii="Arial" w:eastAsia="Arial" w:hAnsi="Arial" w:cs="Arial"/>
          <w:b/>
        </w:rPr>
        <w:t>el cual se autoriza</w:t>
      </w:r>
      <w:r w:rsidRPr="00C9370C">
        <w:rPr>
          <w:rFonts w:ascii="Arial" w:eastAsia="Arial" w:hAnsi="Arial" w:cs="Arial"/>
          <w:b/>
        </w:rPr>
        <w:t xml:space="preserve"> la intervención del PEI, Modelo Pedagógico, SIEE, y Manual de Convivencia para su actualización seg</w:t>
      </w:r>
      <w:r w:rsidR="00717527" w:rsidRPr="00C9370C">
        <w:rPr>
          <w:rFonts w:ascii="Arial" w:eastAsia="Arial" w:hAnsi="Arial" w:cs="Arial"/>
          <w:b/>
        </w:rPr>
        <w:t>ún las normas y leyes vigentes, y se aprueba la adopción e incorporación en el PEI de elementos que configuran la escuela dentro de un Distrito de Ciencia, Tecnología e Innovación (CTI) en el PEI.</w:t>
      </w:r>
    </w:p>
    <w:p w:rsidR="0064202F" w:rsidRPr="00C9370C" w:rsidRDefault="0064202F" w:rsidP="0064202F">
      <w:pPr>
        <w:jc w:val="center"/>
        <w:rPr>
          <w:rFonts w:ascii="Arial" w:eastAsia="Arial" w:hAnsi="Arial" w:cs="Arial"/>
          <w:b/>
        </w:rPr>
      </w:pPr>
    </w:p>
    <w:p w:rsidR="0064202F" w:rsidRPr="00C9370C" w:rsidRDefault="0064202F" w:rsidP="00BC2208">
      <w:pPr>
        <w:autoSpaceDE w:val="0"/>
        <w:autoSpaceDN w:val="0"/>
        <w:adjustRightInd w:val="0"/>
        <w:spacing w:after="0" w:line="240" w:lineRule="auto"/>
        <w:jc w:val="both"/>
        <w:rPr>
          <w:rFonts w:ascii="Arial" w:hAnsi="Arial" w:cs="Arial"/>
          <w:color w:val="000000"/>
        </w:rPr>
      </w:pPr>
      <w:r w:rsidRPr="00C9370C">
        <w:rPr>
          <w:rFonts w:ascii="Arial" w:hAnsi="Arial" w:cs="Arial"/>
          <w:color w:val="000000"/>
        </w:rPr>
        <w:t>El Rector de la</w:t>
      </w:r>
      <w:r w:rsidRPr="00C9370C">
        <w:rPr>
          <w:rFonts w:ascii="Arial" w:hAnsi="Arial" w:cs="Arial"/>
        </w:rPr>
        <w:t xml:space="preserve"> Educativa Las Nieves</w:t>
      </w:r>
      <w:r w:rsidRPr="00C9370C">
        <w:rPr>
          <w:rFonts w:ascii="Arial" w:hAnsi="Arial" w:cs="Arial"/>
          <w:color w:val="000000"/>
        </w:rPr>
        <w:t>,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64202F" w:rsidRPr="00C9370C" w:rsidRDefault="0064202F" w:rsidP="0064202F">
      <w:pPr>
        <w:autoSpaceDE w:val="0"/>
        <w:autoSpaceDN w:val="0"/>
        <w:adjustRightInd w:val="0"/>
        <w:spacing w:line="360" w:lineRule="auto"/>
        <w:jc w:val="both"/>
        <w:rPr>
          <w:rFonts w:ascii="Arial" w:hAnsi="Arial" w:cs="Arial"/>
          <w:color w:val="000000"/>
        </w:rPr>
      </w:pPr>
    </w:p>
    <w:p w:rsidR="0064202F" w:rsidRPr="00C9370C" w:rsidRDefault="0064202F" w:rsidP="0064202F">
      <w:pPr>
        <w:autoSpaceDE w:val="0"/>
        <w:autoSpaceDN w:val="0"/>
        <w:adjustRightInd w:val="0"/>
        <w:spacing w:line="360" w:lineRule="auto"/>
        <w:jc w:val="center"/>
        <w:rPr>
          <w:rFonts w:ascii="Arial" w:hAnsi="Arial" w:cs="Arial"/>
          <w:b/>
          <w:bCs/>
          <w:color w:val="000000"/>
        </w:rPr>
      </w:pPr>
      <w:r w:rsidRPr="00C9370C">
        <w:rPr>
          <w:rFonts w:ascii="Arial" w:hAnsi="Arial" w:cs="Arial"/>
          <w:b/>
          <w:bCs/>
          <w:color w:val="000000"/>
        </w:rPr>
        <w:t>CONSIDERANDO</w:t>
      </w:r>
    </w:p>
    <w:p w:rsidR="003C742D" w:rsidRPr="00C9370C" w:rsidRDefault="003C742D" w:rsidP="003C742D">
      <w:pPr>
        <w:jc w:val="center"/>
        <w:rPr>
          <w:rFonts w:ascii="Arial" w:eastAsia="Arial" w:hAnsi="Arial" w:cs="Arial"/>
          <w:b/>
        </w:rPr>
      </w:pP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 xml:space="preserve">Que el Consejo Directivo en reunión ordinaria del día 23 de febrero del año 2024 aprobó la solicitud de hacer una intervención a varios componentes del currículo con el fin de actualizarlos y colocarlos acorde con las normas y leyes vigentes. </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 xml:space="preserve">Que el Consejo Directivo de la I.E Las Nieves comprende que algunos componentes del horizonte Institucional ya están desactualizados y requieren estar acordes con los retos que el contexto y la sociedad exige para la formación integral de los niños, niñas, jóvenes y adolescentes en Colombia. </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 xml:space="preserve">Que la ley 115 de febrero 8 de 1994, define al PEI como la carta de navegación de las escuelas y colegios, en donde se especifican entre otros aspectos los principios y fines del establecimiento, los recursos docentes y didácticos disponibles y necesarios, la estrategia pedagógica, el reglamento para docentes y estudiantes y el sistema de gestión. </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Que la ley 115 de febrero 8 de 1994 en sus artículos 73 y 87 de la Ley 115 de 1994, todos los establecimientos educativos deben tener como parte integrante del proyecto educativo institucional, un reglamento o manual de convivencia.</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 xml:space="preserve">Que la ley 115 de febrero 8 de 1994 en su artículo 87 de la Ley 115 de 1994, el manual de convivencia define los derechos y obligaciones de los estudiantes de cada uno de los miembros de 1la comunidad educativa, a través de los cuales se rigen las características y condiciones de interacción y convivencia entre los mismos y señala el debido ... </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lastRenderedPageBreak/>
        <w:t xml:space="preserve">Que la Ley 1620 de 2013, creó el Sistema Nacional de Convivencia Escolar y Formación para el ejercicio de los Derechos Humanos, la educación para la sexualidad y la prevención y mitigación de la violencia escolar. </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Que el Decreto 1965 de septiembre 11 de 2013 reglamento la Ley 1620 de 2013, que crea el Sistema Nacional de Convivencia Escolar y Formación para el Ejercicio de los Derechos Humanos, la Educación para la Sexualidad y la Prevención y Mitigación de la Violencia Escolar.</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Que el decreto 1290 de 16 de abril de 2009, reglamenta la evaluación del aprendizaje y promoción de los estudiantes de los niveles de educación básica y media.</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Que El SIEE es un conjunto de criterios, normas y procedimientos para dinamizar el proceso de valoración, evaluación y promoción de los estudiantes, fundamento sobre los principios de la propuesta pedagógica del Proyecto Educativo Institucional.</w:t>
      </w:r>
    </w:p>
    <w:p w:rsidR="0064202F" w:rsidRPr="00C9370C" w:rsidRDefault="0064202F" w:rsidP="0064202F">
      <w:pPr>
        <w:pStyle w:val="Prrafodelista"/>
        <w:numPr>
          <w:ilvl w:val="0"/>
          <w:numId w:val="1"/>
        </w:numPr>
        <w:jc w:val="both"/>
        <w:rPr>
          <w:rFonts w:ascii="Arial" w:eastAsia="Arial" w:hAnsi="Arial" w:cs="Arial"/>
        </w:rPr>
      </w:pPr>
      <w:r w:rsidRPr="00C9370C">
        <w:rPr>
          <w:rFonts w:ascii="Arial" w:eastAsia="Arial" w:hAnsi="Arial" w:cs="Arial"/>
        </w:rPr>
        <w:t>Que El proceso de evaluación debe estar alimentado por la escucha y el diálogo con los estudiantes, considerando estrategias de apoyo para la mejora de sus aprendizajes. En este caso, la retroalimentación formativa juega un rol muy importante en la evaluación para el aprendizaje de los estudiantes.</w:t>
      </w:r>
    </w:p>
    <w:p w:rsidR="00717527" w:rsidRPr="00C9370C" w:rsidRDefault="00717527" w:rsidP="00717527">
      <w:pPr>
        <w:pStyle w:val="Prrafodelista"/>
        <w:numPr>
          <w:ilvl w:val="0"/>
          <w:numId w:val="1"/>
        </w:numPr>
        <w:jc w:val="both"/>
        <w:rPr>
          <w:rFonts w:ascii="Arial" w:eastAsia="Arial" w:hAnsi="Arial" w:cs="Arial"/>
        </w:rPr>
      </w:pPr>
      <w:r w:rsidRPr="00C9370C">
        <w:rPr>
          <w:rFonts w:ascii="Arial" w:eastAsia="Arial" w:hAnsi="Arial" w:cs="Arial"/>
        </w:rPr>
        <w:t>Que hay una iniciativa que se enmarca en las orientaciones proporcionadas por la Escuela Inteligente “un ecosistema para el buen vivir de la mano de la Ciencia, Tecnología e Innovación”.</w:t>
      </w:r>
    </w:p>
    <w:p w:rsidR="00717527" w:rsidRPr="00C9370C" w:rsidRDefault="00717527" w:rsidP="00717527">
      <w:pPr>
        <w:pStyle w:val="Prrafodelista"/>
        <w:numPr>
          <w:ilvl w:val="0"/>
          <w:numId w:val="1"/>
        </w:numPr>
        <w:jc w:val="both"/>
        <w:rPr>
          <w:rFonts w:ascii="Arial" w:eastAsia="Arial" w:hAnsi="Arial" w:cs="Arial"/>
        </w:rPr>
      </w:pPr>
      <w:r w:rsidRPr="00C9370C">
        <w:rPr>
          <w:rFonts w:ascii="Arial" w:eastAsia="Arial" w:hAnsi="Arial" w:cs="Arial"/>
        </w:rPr>
        <w:t>Que esta iniciativa esta enmarcada en los propósitos de generar una cultura de innovación y creatividad en el entorno educativo. Integrar la ciencia y la tecnología en el currículo escolar para preparar a los estudiantes para los retos del siglo XXI. Promover un ecosistema educativo que favorezca el buen vivir a través del uso del CTI.</w:t>
      </w:r>
    </w:p>
    <w:p w:rsidR="0064202F" w:rsidRPr="00C9370C" w:rsidRDefault="0064202F" w:rsidP="003C742D">
      <w:pPr>
        <w:jc w:val="center"/>
        <w:rPr>
          <w:rFonts w:ascii="Arial" w:eastAsia="Arial" w:hAnsi="Arial" w:cs="Arial"/>
          <w:b/>
        </w:rPr>
      </w:pPr>
    </w:p>
    <w:p w:rsidR="0064202F" w:rsidRPr="00C9370C" w:rsidRDefault="0064202F" w:rsidP="0064202F">
      <w:pPr>
        <w:spacing w:line="360" w:lineRule="auto"/>
        <w:jc w:val="center"/>
        <w:rPr>
          <w:rFonts w:ascii="Arial" w:hAnsi="Arial" w:cs="Arial"/>
          <w:b/>
          <w:lang w:val="es-MX"/>
        </w:rPr>
      </w:pPr>
      <w:r w:rsidRPr="00C9370C">
        <w:rPr>
          <w:rFonts w:ascii="Arial" w:hAnsi="Arial" w:cs="Arial"/>
          <w:b/>
          <w:lang w:val="es-MX"/>
        </w:rPr>
        <w:t>RESUELVE</w:t>
      </w:r>
    </w:p>
    <w:p w:rsidR="0064202F" w:rsidRPr="00C9370C" w:rsidRDefault="0064202F" w:rsidP="00BC2208">
      <w:pPr>
        <w:spacing w:line="360" w:lineRule="auto"/>
        <w:rPr>
          <w:rFonts w:ascii="Arial" w:hAnsi="Arial" w:cs="Arial"/>
          <w:b/>
          <w:lang w:val="es-MX"/>
        </w:rPr>
      </w:pPr>
    </w:p>
    <w:p w:rsidR="0064202F" w:rsidRPr="00C9370C" w:rsidRDefault="0064202F" w:rsidP="0064202F">
      <w:pPr>
        <w:jc w:val="both"/>
        <w:rPr>
          <w:rFonts w:ascii="Arial" w:eastAsia="Arial" w:hAnsi="Arial" w:cs="Arial"/>
        </w:rPr>
      </w:pPr>
      <w:r w:rsidRPr="00C9370C">
        <w:rPr>
          <w:rFonts w:ascii="Arial" w:hAnsi="Arial" w:cs="Arial"/>
          <w:b/>
          <w:lang w:val="es-MX"/>
        </w:rPr>
        <w:t>ARTÍCULO PRIMERO:</w:t>
      </w:r>
      <w:r w:rsidRPr="00C9370C">
        <w:rPr>
          <w:rFonts w:ascii="Arial" w:hAnsi="Arial" w:cs="Arial"/>
          <w:b/>
          <w:lang w:val="es-MX"/>
        </w:rPr>
        <w:t xml:space="preserve"> </w:t>
      </w:r>
      <w:r w:rsidRPr="00C9370C">
        <w:rPr>
          <w:rFonts w:ascii="Arial" w:hAnsi="Arial" w:cs="Arial"/>
          <w:lang w:val="es-MX"/>
        </w:rPr>
        <w:t xml:space="preserve">autorizar la </w:t>
      </w:r>
      <w:r w:rsidRPr="00C9370C">
        <w:rPr>
          <w:rFonts w:ascii="Arial" w:eastAsia="Arial" w:hAnsi="Arial" w:cs="Arial"/>
        </w:rPr>
        <w:t>actualización</w:t>
      </w:r>
      <w:r w:rsidRPr="00C9370C">
        <w:rPr>
          <w:rFonts w:ascii="Arial" w:eastAsia="Arial" w:hAnsi="Arial" w:cs="Arial"/>
        </w:rPr>
        <w:t xml:space="preserve"> el horizonte institucional del PEI de la I.E Las Nieves durante el año 2024, a través de un trabajo colaborativo con los diferentes integrantes de la comunidad educativa. </w:t>
      </w:r>
    </w:p>
    <w:p w:rsidR="0064202F" w:rsidRPr="00C9370C" w:rsidRDefault="0064202F" w:rsidP="0064202F">
      <w:pPr>
        <w:jc w:val="both"/>
        <w:rPr>
          <w:rFonts w:ascii="Arial" w:eastAsia="Arial" w:hAnsi="Arial" w:cs="Arial"/>
        </w:rPr>
      </w:pPr>
      <w:r w:rsidRPr="00C9370C">
        <w:rPr>
          <w:rFonts w:ascii="Arial" w:eastAsia="Arial" w:hAnsi="Arial" w:cs="Arial"/>
          <w:b/>
        </w:rPr>
        <w:t>ARTICULO SEGUNDO:</w:t>
      </w:r>
      <w:r w:rsidRPr="00C9370C">
        <w:rPr>
          <w:rFonts w:ascii="Arial" w:eastAsia="Arial" w:hAnsi="Arial" w:cs="Arial"/>
          <w:b/>
        </w:rPr>
        <w:t xml:space="preserve"> </w:t>
      </w:r>
      <w:r w:rsidRPr="00C9370C">
        <w:rPr>
          <w:rFonts w:ascii="Arial" w:eastAsia="Arial" w:hAnsi="Arial" w:cs="Arial"/>
        </w:rPr>
        <w:t>autorizar la</w:t>
      </w:r>
      <w:r w:rsidRPr="00C9370C">
        <w:rPr>
          <w:rFonts w:ascii="Arial" w:eastAsia="Arial" w:hAnsi="Arial" w:cs="Arial"/>
          <w:b/>
        </w:rPr>
        <w:t xml:space="preserve"> </w:t>
      </w:r>
      <w:r w:rsidRPr="00C9370C">
        <w:rPr>
          <w:rFonts w:ascii="Arial" w:eastAsia="Arial" w:hAnsi="Arial" w:cs="Arial"/>
        </w:rPr>
        <w:t>redefinición</w:t>
      </w:r>
      <w:r w:rsidRPr="00C9370C">
        <w:rPr>
          <w:rFonts w:ascii="Arial" w:eastAsia="Arial" w:hAnsi="Arial" w:cs="Arial"/>
        </w:rPr>
        <w:t xml:space="preserve"> el Modelo Pedagógico de la I.E Las Nieves de tal manera que responda a los cambios educativos actuales.</w:t>
      </w:r>
    </w:p>
    <w:p w:rsidR="00717527" w:rsidRPr="00C9370C" w:rsidRDefault="00CF39C6" w:rsidP="00CF39C6">
      <w:pPr>
        <w:jc w:val="both"/>
        <w:rPr>
          <w:rFonts w:ascii="Arial" w:eastAsia="Arial" w:hAnsi="Arial" w:cs="Arial"/>
        </w:rPr>
      </w:pPr>
      <w:r w:rsidRPr="00C9370C">
        <w:rPr>
          <w:rFonts w:ascii="Arial" w:eastAsia="Arial" w:hAnsi="Arial" w:cs="Arial"/>
          <w:b/>
        </w:rPr>
        <w:t xml:space="preserve">ARTICULO TERCERO: </w:t>
      </w:r>
      <w:r w:rsidRPr="00C9370C">
        <w:rPr>
          <w:rFonts w:ascii="Arial" w:eastAsia="Arial" w:hAnsi="Arial" w:cs="Arial"/>
        </w:rPr>
        <w:t>autorizar la actualización</w:t>
      </w:r>
      <w:r w:rsidRPr="00C9370C">
        <w:rPr>
          <w:rFonts w:ascii="Arial" w:eastAsia="Arial" w:hAnsi="Arial" w:cs="Arial"/>
        </w:rPr>
        <w:t xml:space="preserve"> </w:t>
      </w:r>
      <w:r w:rsidRPr="00C9370C">
        <w:rPr>
          <w:rFonts w:ascii="Arial" w:eastAsia="Arial" w:hAnsi="Arial" w:cs="Arial"/>
        </w:rPr>
        <w:t>d</w:t>
      </w:r>
      <w:r w:rsidRPr="00C9370C">
        <w:rPr>
          <w:rFonts w:ascii="Arial" w:eastAsia="Arial" w:hAnsi="Arial" w:cs="Arial"/>
        </w:rPr>
        <w:t xml:space="preserve">el SIEE de la I.E Las Nieves para que se puedan dinamizar los aprendizajes de los estudiantes a través de una evaluación integral y ajustada a las normas vigentes. </w:t>
      </w:r>
    </w:p>
    <w:p w:rsidR="00717527" w:rsidRPr="00C9370C" w:rsidRDefault="00BC2208" w:rsidP="00BC2208">
      <w:pPr>
        <w:jc w:val="both"/>
        <w:rPr>
          <w:rFonts w:ascii="Arial" w:hAnsi="Arial" w:cs="Arial"/>
        </w:rPr>
      </w:pPr>
      <w:r w:rsidRPr="00C9370C">
        <w:rPr>
          <w:rFonts w:ascii="Arial" w:hAnsi="Arial" w:cs="Arial"/>
          <w:b/>
        </w:rPr>
        <w:lastRenderedPageBreak/>
        <w:t xml:space="preserve">ARTÍCULO CUARTO: </w:t>
      </w:r>
      <w:r w:rsidR="00717527" w:rsidRPr="00C9370C">
        <w:rPr>
          <w:rFonts w:ascii="Arial" w:hAnsi="Arial" w:cs="Arial"/>
        </w:rPr>
        <w:t>autorizar a Escuelas inteligentes a realizar el acompañamiento en lo pedagógico y normativo para actualizar los componentes aquí mencionados.</w:t>
      </w:r>
    </w:p>
    <w:p w:rsidR="00BC2208" w:rsidRPr="00C9370C" w:rsidRDefault="00717527" w:rsidP="00BC2208">
      <w:pPr>
        <w:jc w:val="both"/>
        <w:rPr>
          <w:rFonts w:ascii="Arial" w:hAnsi="Arial" w:cs="Arial"/>
        </w:rPr>
      </w:pPr>
      <w:r w:rsidRPr="00C9370C">
        <w:rPr>
          <w:rFonts w:ascii="Arial" w:hAnsi="Arial" w:cs="Arial"/>
          <w:b/>
        </w:rPr>
        <w:t xml:space="preserve">ARTÍCULO QUINTO: </w:t>
      </w:r>
      <w:r w:rsidR="003E09D8" w:rsidRPr="00C9370C">
        <w:rPr>
          <w:rFonts w:ascii="Arial" w:hAnsi="Arial" w:cs="Arial"/>
        </w:rPr>
        <w:t>la presente</w:t>
      </w:r>
      <w:r w:rsidR="00BC2208" w:rsidRPr="00C9370C">
        <w:rPr>
          <w:rFonts w:ascii="Arial" w:hAnsi="Arial" w:cs="Arial"/>
        </w:rPr>
        <w:t xml:space="preserve"> resolución rige a partir de la fecha y deroga cualquier disposición contraria. </w:t>
      </w:r>
    </w:p>
    <w:p w:rsidR="00BC2208" w:rsidRPr="00C9370C" w:rsidRDefault="00BC2208" w:rsidP="00BC2208">
      <w:pPr>
        <w:jc w:val="both"/>
        <w:rPr>
          <w:rFonts w:ascii="Arial" w:hAnsi="Arial" w:cs="Arial"/>
        </w:rPr>
      </w:pPr>
    </w:p>
    <w:p w:rsidR="00BC2208" w:rsidRPr="00C9370C" w:rsidRDefault="00BC2208" w:rsidP="00BC2208">
      <w:pPr>
        <w:spacing w:line="360" w:lineRule="auto"/>
        <w:jc w:val="both"/>
        <w:rPr>
          <w:rFonts w:ascii="Arial" w:eastAsia="Arial" w:hAnsi="Arial" w:cs="Arial"/>
          <w:lang w:val="es-MX"/>
        </w:rPr>
      </w:pPr>
      <w:r w:rsidRPr="00C9370C">
        <w:rPr>
          <w:rFonts w:ascii="Arial" w:eastAsia="Arial" w:hAnsi="Arial" w:cs="Arial"/>
          <w:lang w:val="es-MX"/>
        </w:rPr>
        <w:t>Dada en Medellín a los 05</w:t>
      </w:r>
      <w:r w:rsidRPr="00C9370C">
        <w:rPr>
          <w:rFonts w:ascii="Arial" w:eastAsia="Arial" w:hAnsi="Arial" w:cs="Arial"/>
          <w:lang w:val="es-MX"/>
        </w:rPr>
        <w:t xml:space="preserve"> días del mes de marzo de 2025.</w:t>
      </w:r>
    </w:p>
    <w:p w:rsidR="00BC2208" w:rsidRPr="00C9370C" w:rsidRDefault="00BC2208" w:rsidP="00BC2208">
      <w:pPr>
        <w:spacing w:line="360" w:lineRule="auto"/>
        <w:jc w:val="both"/>
        <w:rPr>
          <w:rFonts w:ascii="Arial" w:eastAsia="Arial" w:hAnsi="Arial" w:cs="Arial"/>
          <w:lang w:val="es-MX"/>
        </w:rPr>
      </w:pPr>
    </w:p>
    <w:p w:rsidR="00BC2208" w:rsidRPr="00C9370C" w:rsidRDefault="00BC2208" w:rsidP="00BC2208">
      <w:pPr>
        <w:spacing w:line="360" w:lineRule="auto"/>
        <w:jc w:val="center"/>
        <w:rPr>
          <w:rFonts w:ascii="Arial" w:eastAsia="Arial" w:hAnsi="Arial" w:cs="Arial"/>
          <w:b/>
          <w:lang w:val="es-MX"/>
        </w:rPr>
      </w:pPr>
      <w:r w:rsidRPr="00C9370C">
        <w:rPr>
          <w:rFonts w:ascii="Arial" w:eastAsia="Arial" w:hAnsi="Arial" w:cs="Arial"/>
          <w:b/>
          <w:lang w:val="es-MX"/>
        </w:rPr>
        <w:t>Comuníquese, publíquese y cúmplase</w:t>
      </w:r>
    </w:p>
    <w:p w:rsidR="00BC2208" w:rsidRPr="00C9370C" w:rsidRDefault="00BC2208" w:rsidP="00BC2208">
      <w:pPr>
        <w:spacing w:line="360" w:lineRule="auto"/>
        <w:jc w:val="center"/>
        <w:rPr>
          <w:rFonts w:ascii="Arial" w:eastAsia="Arial" w:hAnsi="Arial" w:cs="Arial"/>
          <w:b/>
          <w:lang w:val="es-MX"/>
        </w:rPr>
      </w:pPr>
    </w:p>
    <w:p w:rsidR="00BC2208" w:rsidRPr="00C9370C" w:rsidRDefault="00BC2208" w:rsidP="00BC2208">
      <w:pPr>
        <w:spacing w:after="0" w:line="360" w:lineRule="auto"/>
        <w:jc w:val="both"/>
        <w:rPr>
          <w:rFonts w:ascii="Arial" w:eastAsia="Arial" w:hAnsi="Arial" w:cs="Arial"/>
        </w:rPr>
      </w:pPr>
      <w:r w:rsidRPr="00C9370C">
        <w:rPr>
          <w:rFonts w:ascii="Arial" w:eastAsia="Arial" w:hAnsi="Arial" w:cs="Arial"/>
        </w:rPr>
        <w:t>________________________</w:t>
      </w:r>
    </w:p>
    <w:p w:rsidR="00BC2208" w:rsidRPr="00C9370C" w:rsidRDefault="00BC2208" w:rsidP="00BC2208">
      <w:pPr>
        <w:spacing w:after="0" w:line="360" w:lineRule="auto"/>
        <w:jc w:val="both"/>
        <w:rPr>
          <w:rFonts w:ascii="Arial" w:eastAsia="Arial" w:hAnsi="Arial" w:cs="Arial"/>
          <w:b/>
        </w:rPr>
      </w:pPr>
      <w:r w:rsidRPr="00C9370C">
        <w:rPr>
          <w:rFonts w:ascii="Arial" w:eastAsia="Arial" w:hAnsi="Arial" w:cs="Arial"/>
          <w:b/>
        </w:rPr>
        <w:t>Boris Rafael Piñeres Yanes</w:t>
      </w:r>
    </w:p>
    <w:p w:rsidR="00691B04" w:rsidRPr="00C9370C" w:rsidRDefault="00BC2208" w:rsidP="00BC2208">
      <w:pPr>
        <w:spacing w:after="0" w:line="360" w:lineRule="auto"/>
        <w:jc w:val="both"/>
        <w:rPr>
          <w:rFonts w:ascii="Arial" w:eastAsia="Arial" w:hAnsi="Arial" w:cs="Arial"/>
          <w:b/>
        </w:rPr>
      </w:pPr>
      <w:r w:rsidRPr="00C9370C">
        <w:rPr>
          <w:rFonts w:ascii="Arial" w:eastAsia="Arial" w:hAnsi="Arial" w:cs="Arial"/>
          <w:b/>
        </w:rPr>
        <w:t>Rector</w:t>
      </w:r>
      <w:bookmarkEnd w:id="0"/>
    </w:p>
    <w:sectPr w:rsidR="00691B04" w:rsidRPr="00C9370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C5" w:rsidRDefault="002A3EC5">
      <w:pPr>
        <w:spacing w:after="0" w:line="240" w:lineRule="auto"/>
      </w:pPr>
      <w:r>
        <w:separator/>
      </w:r>
    </w:p>
  </w:endnote>
  <w:endnote w:type="continuationSeparator" w:id="0">
    <w:p w:rsidR="002A3EC5" w:rsidRDefault="002A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C5" w:rsidRDefault="002A3EC5">
      <w:pPr>
        <w:spacing w:after="0" w:line="240" w:lineRule="auto"/>
      </w:pPr>
      <w:r>
        <w:separator/>
      </w:r>
    </w:p>
  </w:footnote>
  <w:footnote w:type="continuationSeparator" w:id="0">
    <w:p w:rsidR="002A3EC5" w:rsidRDefault="002A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D5CB9"/>
    <w:multiLevelType w:val="hybridMultilevel"/>
    <w:tmpl w:val="872C1C0A"/>
    <w:lvl w:ilvl="0" w:tplc="F40635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132314"/>
    <w:rsid w:val="0016664D"/>
    <w:rsid w:val="001F7F1D"/>
    <w:rsid w:val="002A3EC5"/>
    <w:rsid w:val="003C742D"/>
    <w:rsid w:val="003E09D8"/>
    <w:rsid w:val="00541937"/>
    <w:rsid w:val="0064202F"/>
    <w:rsid w:val="00691B04"/>
    <w:rsid w:val="00717527"/>
    <w:rsid w:val="0075068B"/>
    <w:rsid w:val="008F7415"/>
    <w:rsid w:val="009A0331"/>
    <w:rsid w:val="00BC2208"/>
    <w:rsid w:val="00C9370C"/>
    <w:rsid w:val="00CF06AB"/>
    <w:rsid w:val="00CF39C6"/>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6D655"/>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64202F"/>
    <w:pPr>
      <w:ind w:left="720"/>
      <w:contextualSpacing/>
    </w:pPr>
  </w:style>
  <w:style w:type="paragraph" w:styleId="Textodeglobo">
    <w:name w:val="Balloon Text"/>
    <w:basedOn w:val="Normal"/>
    <w:link w:val="TextodegloboCar"/>
    <w:uiPriority w:val="99"/>
    <w:semiHidden/>
    <w:unhideWhenUsed/>
    <w:rsid w:val="007175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5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732</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cp:lastPrinted>2025-03-05T15:53:00Z</cp:lastPrinted>
  <dcterms:created xsi:type="dcterms:W3CDTF">2024-01-26T18:46:00Z</dcterms:created>
  <dcterms:modified xsi:type="dcterms:W3CDTF">2025-03-05T16:15:00Z</dcterms:modified>
</cp:coreProperties>
</file>