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737" w:rsidRPr="00195CD7" w:rsidRDefault="00E81737" w:rsidP="00E81737">
      <w:pPr>
        <w:spacing w:line="360" w:lineRule="auto"/>
        <w:jc w:val="center"/>
        <w:rPr>
          <w:rFonts w:ascii="Arial" w:hAnsi="Arial" w:cs="Arial"/>
          <w:b/>
          <w:lang w:val="es-419"/>
        </w:rPr>
      </w:pPr>
      <w:r w:rsidRPr="00195CD7">
        <w:rPr>
          <w:rFonts w:ascii="Arial" w:hAnsi="Arial" w:cs="Arial"/>
          <w:b/>
          <w:lang w:val="es-MX"/>
        </w:rPr>
        <w:t>RESOLUCIÓN RECTORAL  0</w:t>
      </w:r>
      <w:r w:rsidRPr="00195CD7">
        <w:rPr>
          <w:rFonts w:ascii="Arial" w:hAnsi="Arial" w:cs="Arial"/>
          <w:b/>
          <w:lang w:val="es-419"/>
        </w:rPr>
        <w:t>7</w:t>
      </w:r>
    </w:p>
    <w:p w:rsidR="00E81737" w:rsidRPr="00195CD7" w:rsidRDefault="00E81737" w:rsidP="00E81737">
      <w:pPr>
        <w:spacing w:line="360" w:lineRule="auto"/>
        <w:jc w:val="center"/>
        <w:rPr>
          <w:rFonts w:ascii="Arial" w:hAnsi="Arial" w:cs="Arial"/>
          <w:b/>
          <w:lang w:val="es-MX"/>
        </w:rPr>
      </w:pPr>
      <w:r w:rsidRPr="00195CD7">
        <w:rPr>
          <w:rFonts w:ascii="Arial" w:hAnsi="Arial" w:cs="Arial"/>
          <w:b/>
          <w:lang w:val="es-419"/>
        </w:rPr>
        <w:t>Febrero 26</w:t>
      </w:r>
      <w:r w:rsidRPr="00195CD7">
        <w:rPr>
          <w:rFonts w:ascii="Arial" w:hAnsi="Arial" w:cs="Arial"/>
          <w:b/>
          <w:lang w:val="es-MX"/>
        </w:rPr>
        <w:t xml:space="preserve"> de 2025</w:t>
      </w:r>
    </w:p>
    <w:p w:rsidR="00E81737" w:rsidRPr="00195CD7" w:rsidRDefault="00E81737" w:rsidP="00E81737">
      <w:pPr>
        <w:spacing w:line="360" w:lineRule="auto"/>
        <w:jc w:val="center"/>
        <w:rPr>
          <w:rFonts w:ascii="Arial" w:hAnsi="Arial" w:cs="Arial"/>
          <w:b/>
          <w:lang w:val="es-MX"/>
        </w:rPr>
      </w:pPr>
    </w:p>
    <w:p w:rsidR="00E81737" w:rsidRPr="00195CD7" w:rsidRDefault="00E81737" w:rsidP="00E81737">
      <w:pPr>
        <w:spacing w:line="360" w:lineRule="auto"/>
        <w:jc w:val="center"/>
        <w:rPr>
          <w:rFonts w:ascii="Arial" w:hAnsi="Arial" w:cs="Arial"/>
          <w:b/>
          <w:lang w:val="es-MX"/>
        </w:rPr>
      </w:pPr>
      <w:r w:rsidRPr="00195CD7">
        <w:rPr>
          <w:rFonts w:ascii="Arial" w:hAnsi="Arial" w:cs="Arial"/>
          <w:b/>
          <w:lang w:val="es-MX"/>
        </w:rPr>
        <w:t xml:space="preserve">Por medio del cual se organizan los diferentes comités dentro del proyecto de </w:t>
      </w:r>
      <w:r w:rsidR="004C587E" w:rsidRPr="00195CD7">
        <w:rPr>
          <w:rFonts w:ascii="Arial" w:hAnsi="Arial" w:cs="Arial"/>
          <w:b/>
          <w:lang w:val="es-MX"/>
        </w:rPr>
        <w:t xml:space="preserve">atención del </w:t>
      </w:r>
      <w:r w:rsidRPr="00195CD7">
        <w:rPr>
          <w:rFonts w:ascii="Arial" w:hAnsi="Arial" w:cs="Arial"/>
          <w:b/>
          <w:lang w:val="es-MX"/>
        </w:rPr>
        <w:t>riesgo escolar y se anexa cada brigada a uno de los macro proyectos institucionales para consolidar el trabajo trans</w:t>
      </w:r>
      <w:r w:rsidR="004C587E" w:rsidRPr="00195CD7">
        <w:rPr>
          <w:rFonts w:ascii="Arial" w:hAnsi="Arial" w:cs="Arial"/>
          <w:b/>
          <w:lang w:val="es-MX"/>
        </w:rPr>
        <w:t>versal y los objetivos afines a</w:t>
      </w:r>
      <w:r w:rsidRPr="00195CD7">
        <w:rPr>
          <w:rFonts w:ascii="Arial" w:hAnsi="Arial" w:cs="Arial"/>
          <w:b/>
          <w:lang w:val="es-MX"/>
        </w:rPr>
        <w:t xml:space="preserve"> la organización escolar.   </w:t>
      </w:r>
    </w:p>
    <w:p w:rsidR="00691B04" w:rsidRPr="00195CD7" w:rsidRDefault="00691B04" w:rsidP="00E81737">
      <w:pPr>
        <w:jc w:val="center"/>
        <w:rPr>
          <w:rFonts w:ascii="Arial" w:eastAsia="Arial" w:hAnsi="Arial" w:cs="Arial"/>
        </w:rPr>
      </w:pPr>
    </w:p>
    <w:p w:rsidR="00AD1931" w:rsidRPr="00195CD7" w:rsidRDefault="00AD1931" w:rsidP="00AD1931">
      <w:pPr>
        <w:pStyle w:val="Sinespaciado"/>
        <w:spacing w:line="360" w:lineRule="auto"/>
        <w:jc w:val="center"/>
        <w:rPr>
          <w:rFonts w:ascii="Arial" w:hAnsi="Arial" w:cs="Arial"/>
        </w:rPr>
      </w:pPr>
    </w:p>
    <w:p w:rsidR="00AD1931" w:rsidRPr="00195CD7" w:rsidRDefault="00AD1931" w:rsidP="00AD1931">
      <w:pPr>
        <w:autoSpaceDE w:val="0"/>
        <w:autoSpaceDN w:val="0"/>
        <w:adjustRightInd w:val="0"/>
        <w:spacing w:line="360" w:lineRule="auto"/>
        <w:jc w:val="both"/>
        <w:rPr>
          <w:rFonts w:ascii="Arial" w:hAnsi="Arial" w:cs="Arial"/>
          <w:color w:val="000000"/>
        </w:rPr>
      </w:pPr>
      <w:r w:rsidRPr="00195CD7">
        <w:rPr>
          <w:rFonts w:ascii="Arial" w:hAnsi="Arial" w:cs="Arial"/>
          <w:color w:val="000000"/>
        </w:rPr>
        <w:t>El Rector de la</w:t>
      </w:r>
      <w:r w:rsidRPr="00195CD7">
        <w:rPr>
          <w:rFonts w:ascii="Arial" w:hAnsi="Arial" w:cs="Arial"/>
        </w:rPr>
        <w:t xml:space="preserve"> Educativa Las Nieves</w:t>
      </w:r>
      <w:r w:rsidRPr="00195CD7">
        <w:rPr>
          <w:rFonts w:ascii="Arial" w:hAnsi="Arial" w:cs="Arial"/>
          <w:color w:val="000000"/>
        </w:rPr>
        <w:t>,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AD1931" w:rsidRPr="00195CD7" w:rsidRDefault="00AD1931" w:rsidP="00AD1931">
      <w:pPr>
        <w:autoSpaceDE w:val="0"/>
        <w:autoSpaceDN w:val="0"/>
        <w:adjustRightInd w:val="0"/>
        <w:spacing w:line="360" w:lineRule="auto"/>
        <w:jc w:val="both"/>
        <w:rPr>
          <w:rFonts w:ascii="Arial" w:hAnsi="Arial" w:cs="Arial"/>
          <w:color w:val="000000"/>
        </w:rPr>
      </w:pPr>
    </w:p>
    <w:p w:rsidR="00AD1931" w:rsidRPr="00195CD7" w:rsidRDefault="00AD1931" w:rsidP="00AD1931">
      <w:pPr>
        <w:autoSpaceDE w:val="0"/>
        <w:autoSpaceDN w:val="0"/>
        <w:adjustRightInd w:val="0"/>
        <w:spacing w:line="360" w:lineRule="auto"/>
        <w:jc w:val="both"/>
        <w:rPr>
          <w:rFonts w:ascii="Arial" w:hAnsi="Arial" w:cs="Arial"/>
          <w:color w:val="000000"/>
        </w:rPr>
      </w:pPr>
    </w:p>
    <w:p w:rsidR="00AD1931" w:rsidRPr="00195CD7" w:rsidRDefault="00AD1931" w:rsidP="00AD1931">
      <w:pPr>
        <w:autoSpaceDE w:val="0"/>
        <w:autoSpaceDN w:val="0"/>
        <w:adjustRightInd w:val="0"/>
        <w:spacing w:line="360" w:lineRule="auto"/>
        <w:jc w:val="center"/>
        <w:rPr>
          <w:rFonts w:ascii="Arial" w:hAnsi="Arial" w:cs="Arial"/>
          <w:b/>
          <w:bCs/>
          <w:color w:val="000000"/>
        </w:rPr>
      </w:pPr>
      <w:r w:rsidRPr="00195CD7">
        <w:rPr>
          <w:rFonts w:ascii="Arial" w:hAnsi="Arial" w:cs="Arial"/>
          <w:b/>
          <w:bCs/>
          <w:color w:val="000000"/>
        </w:rPr>
        <w:t>CONSIDERANDO</w:t>
      </w:r>
    </w:p>
    <w:p w:rsidR="00AD1931" w:rsidRPr="00195CD7" w:rsidRDefault="00AD1931" w:rsidP="00E81737">
      <w:pPr>
        <w:jc w:val="center"/>
        <w:rPr>
          <w:rFonts w:ascii="Arial" w:eastAsia="Arial" w:hAnsi="Arial" w:cs="Arial"/>
        </w:rPr>
      </w:pPr>
    </w:p>
    <w:p w:rsidR="00AD1931" w:rsidRDefault="00AD1931" w:rsidP="00E81737">
      <w:pPr>
        <w:jc w:val="center"/>
        <w:rPr>
          <w:rFonts w:ascii="Arial" w:eastAsia="Arial" w:hAnsi="Arial" w:cs="Arial"/>
        </w:rPr>
      </w:pPr>
    </w:p>
    <w:p w:rsidR="009A0666" w:rsidRPr="00195CD7" w:rsidRDefault="009A0666" w:rsidP="00E81737">
      <w:pPr>
        <w:jc w:val="center"/>
        <w:rPr>
          <w:rFonts w:ascii="Arial" w:eastAsia="Arial" w:hAnsi="Arial" w:cs="Arial"/>
        </w:rPr>
      </w:pPr>
    </w:p>
    <w:p w:rsidR="00AD1931" w:rsidRDefault="00AD1931" w:rsidP="00AD1931">
      <w:pPr>
        <w:pStyle w:val="Prrafodelista"/>
        <w:numPr>
          <w:ilvl w:val="0"/>
          <w:numId w:val="1"/>
        </w:numPr>
        <w:jc w:val="both"/>
        <w:rPr>
          <w:rFonts w:ascii="Arial" w:eastAsia="Arial" w:hAnsi="Arial" w:cs="Arial"/>
          <w:lang w:val="es-MX"/>
        </w:rPr>
      </w:pPr>
      <w:r w:rsidRPr="00195CD7">
        <w:rPr>
          <w:rFonts w:ascii="Arial" w:eastAsia="Arial" w:hAnsi="Arial" w:cs="Arial"/>
        </w:rPr>
        <w:t xml:space="preserve">Que la ley general de la educación </w:t>
      </w:r>
      <w:r w:rsidRPr="00195CD7">
        <w:rPr>
          <w:rFonts w:ascii="Arial" w:eastAsia="Arial" w:hAnsi="Arial" w:cs="Arial"/>
          <w:b/>
        </w:rPr>
        <w:t>ley 115 de febrero 8 de 1994</w:t>
      </w:r>
      <w:r w:rsidRPr="00195CD7">
        <w:rPr>
          <w:rFonts w:ascii="Arial" w:eastAsia="Arial" w:hAnsi="Arial" w:cs="Arial"/>
        </w:rPr>
        <w:t xml:space="preserve"> en su artículo 5 (fines de la educación), numeral 10 expone </w:t>
      </w:r>
      <w:r w:rsidRPr="00195CD7">
        <w:rPr>
          <w:rFonts w:ascii="Arial" w:eastAsia="Arial" w:hAnsi="Arial" w:cs="Arial"/>
          <w:lang w:val="es-MX"/>
        </w:rPr>
        <w:t>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r w:rsidR="009A0666">
        <w:rPr>
          <w:rFonts w:ascii="Arial" w:eastAsia="Arial" w:hAnsi="Arial" w:cs="Arial"/>
          <w:lang w:val="es-MX"/>
        </w:rPr>
        <w:t xml:space="preserve"> </w:t>
      </w:r>
    </w:p>
    <w:p w:rsidR="009A0666" w:rsidRPr="00195CD7" w:rsidRDefault="009A0666" w:rsidP="009A0666">
      <w:pPr>
        <w:pStyle w:val="Prrafodelista"/>
        <w:jc w:val="both"/>
        <w:rPr>
          <w:rFonts w:ascii="Arial" w:eastAsia="Arial" w:hAnsi="Arial" w:cs="Arial"/>
          <w:lang w:val="es-MX"/>
        </w:rPr>
      </w:pPr>
    </w:p>
    <w:p w:rsidR="009A0666" w:rsidRPr="009A0666" w:rsidRDefault="00883381" w:rsidP="009A0666">
      <w:pPr>
        <w:pStyle w:val="Prrafodelista"/>
        <w:numPr>
          <w:ilvl w:val="0"/>
          <w:numId w:val="1"/>
        </w:numPr>
        <w:jc w:val="both"/>
        <w:rPr>
          <w:rFonts w:ascii="Arial" w:eastAsia="Arial" w:hAnsi="Arial" w:cs="Arial"/>
          <w:bCs/>
          <w:lang w:val="es-MX"/>
        </w:rPr>
      </w:pPr>
      <w:r w:rsidRPr="00195CD7">
        <w:rPr>
          <w:rFonts w:ascii="Arial" w:eastAsia="Arial" w:hAnsi="Arial" w:cs="Arial"/>
          <w:lang w:val="es-MX"/>
        </w:rPr>
        <w:t xml:space="preserve">Que la </w:t>
      </w:r>
      <w:r w:rsidRPr="00195CD7">
        <w:rPr>
          <w:rFonts w:ascii="Arial" w:eastAsia="Arial" w:hAnsi="Arial" w:cs="Arial"/>
          <w:b/>
          <w:bCs/>
        </w:rPr>
        <w:t xml:space="preserve">Resolución Número 09317 de 2016 </w:t>
      </w:r>
      <w:r w:rsidRPr="00195CD7">
        <w:rPr>
          <w:rFonts w:ascii="Arial" w:eastAsia="Arial" w:hAnsi="Arial" w:cs="Arial"/>
          <w:bCs/>
        </w:rPr>
        <w:t xml:space="preserve">citando la guía 34 del MEN en lo referente a la </w:t>
      </w:r>
      <w:r w:rsidRPr="00195CD7">
        <w:rPr>
          <w:rFonts w:ascii="Arial" w:eastAsia="Arial" w:hAnsi="Arial" w:cs="Arial"/>
          <w:b/>
          <w:bCs/>
        </w:rPr>
        <w:t xml:space="preserve">Gestión de la comunidad </w:t>
      </w:r>
      <w:r w:rsidRPr="00195CD7">
        <w:rPr>
          <w:rFonts w:ascii="Arial" w:eastAsia="Arial" w:hAnsi="Arial" w:cs="Arial"/>
          <w:bCs/>
        </w:rPr>
        <w:t xml:space="preserve">expone que esta área se encarga de las relaciones de la institución con la comunidad; así como de la participación y la </w:t>
      </w:r>
      <w:r w:rsidRPr="00195CD7">
        <w:rPr>
          <w:rFonts w:ascii="Arial" w:eastAsia="Arial" w:hAnsi="Arial" w:cs="Arial"/>
          <w:bCs/>
        </w:rPr>
        <w:lastRenderedPageBreak/>
        <w:t>convivencia, la atención educativa a grupos poblacionales con necesidades especiales bajo una perspectiva de inclusión, y la prevención de riesgos.</w:t>
      </w:r>
    </w:p>
    <w:p w:rsidR="009A0666" w:rsidRPr="009A0666" w:rsidRDefault="009A0666" w:rsidP="009A0666">
      <w:pPr>
        <w:pStyle w:val="Prrafodelista"/>
        <w:rPr>
          <w:rFonts w:ascii="Arial" w:eastAsia="Arial" w:hAnsi="Arial" w:cs="Arial"/>
          <w:bCs/>
          <w:lang w:val="es-MX"/>
        </w:rPr>
      </w:pPr>
    </w:p>
    <w:p w:rsidR="009A0666" w:rsidRPr="009A0666" w:rsidRDefault="009A0666" w:rsidP="009A0666">
      <w:pPr>
        <w:pStyle w:val="Prrafodelista"/>
        <w:jc w:val="both"/>
        <w:rPr>
          <w:rFonts w:ascii="Arial" w:eastAsia="Arial" w:hAnsi="Arial" w:cs="Arial"/>
          <w:bCs/>
          <w:lang w:val="es-MX"/>
        </w:rPr>
      </w:pPr>
    </w:p>
    <w:p w:rsidR="00883381" w:rsidRPr="009A0666" w:rsidRDefault="003C66BA" w:rsidP="003C66BA">
      <w:pPr>
        <w:pStyle w:val="Prrafodelista"/>
        <w:numPr>
          <w:ilvl w:val="0"/>
          <w:numId w:val="1"/>
        </w:numPr>
        <w:jc w:val="both"/>
        <w:rPr>
          <w:rFonts w:ascii="Arial" w:eastAsia="Arial" w:hAnsi="Arial" w:cs="Arial"/>
          <w:bCs/>
          <w:lang w:val="es-MX"/>
        </w:rPr>
      </w:pPr>
      <w:r w:rsidRPr="00195CD7">
        <w:rPr>
          <w:rFonts w:ascii="Arial" w:eastAsia="Arial" w:hAnsi="Arial" w:cs="Arial"/>
          <w:bCs/>
          <w:lang w:val="es-MX"/>
        </w:rPr>
        <w:t xml:space="preserve">Guía No 59, Lineamientos para la formulación de planes escolares para la gestión del riesgo en su numeral </w:t>
      </w:r>
      <w:r w:rsidRPr="00195CD7">
        <w:rPr>
          <w:rFonts w:ascii="Arial" w:eastAsia="Arial" w:hAnsi="Arial" w:cs="Arial"/>
          <w:bCs/>
        </w:rPr>
        <w:t xml:space="preserve">1.2 Enfoque de derechos en la educación para la gestión del riesgo </w:t>
      </w:r>
      <w:r w:rsidR="003C75B6" w:rsidRPr="00195CD7">
        <w:rPr>
          <w:rFonts w:ascii="Arial" w:eastAsia="Arial" w:hAnsi="Arial" w:cs="Arial"/>
          <w:bCs/>
        </w:rPr>
        <w:t>propone</w:t>
      </w:r>
      <w:r w:rsidRPr="00195CD7">
        <w:rPr>
          <w:rFonts w:ascii="Arial" w:eastAsia="Arial" w:hAnsi="Arial" w:cs="Arial"/>
          <w:bCs/>
        </w:rPr>
        <w:t xml:space="preserve"> la comprensión de la educación para la gestión del riesgo como una oportunidad para reconstruir con mejores condiciones los sentidos y proyecciones de la escuela como territorio protector y protegido.</w:t>
      </w:r>
    </w:p>
    <w:p w:rsidR="009A0666" w:rsidRPr="00195CD7" w:rsidRDefault="009A0666" w:rsidP="009A0666">
      <w:pPr>
        <w:pStyle w:val="Prrafodelista"/>
        <w:jc w:val="both"/>
        <w:rPr>
          <w:rFonts w:ascii="Arial" w:eastAsia="Arial" w:hAnsi="Arial" w:cs="Arial"/>
          <w:bCs/>
          <w:lang w:val="es-MX"/>
        </w:rPr>
      </w:pPr>
    </w:p>
    <w:p w:rsidR="003C66BA" w:rsidRPr="009A0666" w:rsidRDefault="003C75B6" w:rsidP="003C66BA">
      <w:pPr>
        <w:pStyle w:val="Prrafodelista"/>
        <w:numPr>
          <w:ilvl w:val="0"/>
          <w:numId w:val="1"/>
        </w:numPr>
        <w:jc w:val="both"/>
        <w:rPr>
          <w:rFonts w:ascii="Arial" w:eastAsia="Arial" w:hAnsi="Arial" w:cs="Arial"/>
          <w:bCs/>
          <w:lang w:val="es-MX"/>
        </w:rPr>
      </w:pPr>
      <w:r w:rsidRPr="00195CD7">
        <w:rPr>
          <w:rFonts w:ascii="Arial" w:eastAsia="Arial" w:hAnsi="Arial" w:cs="Arial"/>
          <w:bCs/>
        </w:rPr>
        <w:t>La misma Guía No 59 describe el reconocimiento de que los escenarios de riesgo generan necesidades adicionales de aprendizaje que deben incorporarse en el proceso pedagógico, a través de actividades educativas en materia de seguridad, protección, salud, prevención frente al riesgo, desplazamiento y confinamiento, entre otros.</w:t>
      </w:r>
    </w:p>
    <w:p w:rsidR="009A0666" w:rsidRPr="00195CD7" w:rsidRDefault="009A0666" w:rsidP="009A0666">
      <w:pPr>
        <w:pStyle w:val="Prrafodelista"/>
        <w:jc w:val="both"/>
        <w:rPr>
          <w:rFonts w:ascii="Arial" w:eastAsia="Arial" w:hAnsi="Arial" w:cs="Arial"/>
          <w:bCs/>
          <w:lang w:val="es-MX"/>
        </w:rPr>
      </w:pPr>
    </w:p>
    <w:p w:rsidR="009A0666" w:rsidRPr="009A0666" w:rsidRDefault="003C75B6" w:rsidP="009A0666">
      <w:pPr>
        <w:pStyle w:val="Prrafodelista"/>
        <w:numPr>
          <w:ilvl w:val="0"/>
          <w:numId w:val="1"/>
        </w:numPr>
        <w:jc w:val="both"/>
        <w:rPr>
          <w:rFonts w:ascii="Arial" w:eastAsia="Arial" w:hAnsi="Arial" w:cs="Arial"/>
          <w:bCs/>
          <w:lang w:val="es-MX"/>
        </w:rPr>
      </w:pPr>
      <w:r w:rsidRPr="00195CD7">
        <w:rPr>
          <w:rFonts w:ascii="Arial" w:eastAsia="Arial" w:hAnsi="Arial" w:cs="Arial"/>
          <w:bCs/>
        </w:rPr>
        <w:t xml:space="preserve">Que la Guía No 59 en su numeral 1.3 </w:t>
      </w:r>
      <w:r w:rsidR="006C743A" w:rsidRPr="00195CD7">
        <w:rPr>
          <w:rFonts w:ascii="Arial" w:eastAsia="Arial" w:hAnsi="Arial" w:cs="Arial"/>
          <w:bCs/>
        </w:rPr>
        <w:t xml:space="preserve">define en igual sentido la educación para la gestión del riesgo debe incluir un enfoque diferencial que garantice mínimos aceptables en la prevención y atención de poblaciones con condiciones especiales de vulneración o riesgo con características particulares en razón de su edad, género, orientación sexual, discapacidad, capacidades superiores o talentos excepcionales (art 13 de la ley de víctimas y restitución de tierras) que implican mayores o menores vulnerabilidades y medidas diferentes de ayuda humanitaria, atención, asistencia y reparación integral. </w:t>
      </w:r>
    </w:p>
    <w:p w:rsidR="009A0666" w:rsidRPr="00195CD7" w:rsidRDefault="009A0666" w:rsidP="009A0666">
      <w:pPr>
        <w:pStyle w:val="Prrafodelista"/>
        <w:jc w:val="both"/>
        <w:rPr>
          <w:rFonts w:ascii="Arial" w:eastAsia="Arial" w:hAnsi="Arial" w:cs="Arial"/>
          <w:bCs/>
          <w:lang w:val="es-MX"/>
        </w:rPr>
      </w:pPr>
    </w:p>
    <w:p w:rsidR="003403CF" w:rsidRPr="009A0666" w:rsidRDefault="003403CF" w:rsidP="003403CF">
      <w:pPr>
        <w:pStyle w:val="Prrafodelista"/>
        <w:numPr>
          <w:ilvl w:val="0"/>
          <w:numId w:val="1"/>
        </w:numPr>
        <w:jc w:val="both"/>
        <w:rPr>
          <w:rFonts w:ascii="Arial" w:eastAsia="Arial" w:hAnsi="Arial" w:cs="Arial"/>
          <w:bCs/>
          <w:lang w:val="es-MX"/>
        </w:rPr>
      </w:pPr>
      <w:r w:rsidRPr="00195CD7">
        <w:rPr>
          <w:rFonts w:ascii="Arial" w:eastAsia="Arial" w:hAnsi="Arial" w:cs="Arial"/>
          <w:bCs/>
        </w:rPr>
        <w:t>Que la Guía No 59 explica la gestión del riesgo en la escuela implica contar con una comunidad educativa empoderada a través de procesos de formación para la prevención, reducción y la atención en situaciones de emergencia y post emergencia. Implica, además contar con espacios sociales e institucionales fortalecidos, que faciliten la coordinación y articulación entre los diferentes actores para la actualización de los análisis de riesgos y la adopción de medidas de prevención, disminución, disuasión o superación del riesgo. También se cuenta con la capacidad resilente5 y de recuperación de las comunidades afectadas, a través del ejercicio de una cultura de derechos y de gestión del riesgo en la escuela, que aporta al desarrollo seguro y sostenible de la institución educativa -IE-.</w:t>
      </w:r>
    </w:p>
    <w:p w:rsidR="009A0666" w:rsidRPr="00195CD7" w:rsidRDefault="009A0666" w:rsidP="009A0666">
      <w:pPr>
        <w:pStyle w:val="Prrafodelista"/>
        <w:jc w:val="both"/>
        <w:rPr>
          <w:rFonts w:ascii="Arial" w:eastAsia="Arial" w:hAnsi="Arial" w:cs="Arial"/>
          <w:bCs/>
          <w:lang w:val="es-MX"/>
        </w:rPr>
      </w:pPr>
    </w:p>
    <w:p w:rsidR="003403CF" w:rsidRPr="00195CD7" w:rsidRDefault="003403CF" w:rsidP="003403CF">
      <w:pPr>
        <w:pStyle w:val="Prrafodelista"/>
        <w:numPr>
          <w:ilvl w:val="0"/>
          <w:numId w:val="1"/>
        </w:numPr>
        <w:jc w:val="both"/>
        <w:rPr>
          <w:rFonts w:ascii="Arial" w:eastAsia="Arial" w:hAnsi="Arial" w:cs="Arial"/>
          <w:bCs/>
          <w:lang w:val="es-MX"/>
        </w:rPr>
      </w:pPr>
      <w:r w:rsidRPr="00195CD7">
        <w:rPr>
          <w:rFonts w:ascii="Arial" w:eastAsia="Arial" w:hAnsi="Arial" w:cs="Arial"/>
          <w:bCs/>
          <w:lang w:val="es-MX"/>
        </w:rPr>
        <w:t>L</w:t>
      </w:r>
      <w:r w:rsidRPr="00195CD7">
        <w:rPr>
          <w:rFonts w:ascii="Arial" w:eastAsia="Arial" w:hAnsi="Arial" w:cs="Arial"/>
          <w:bCs/>
        </w:rPr>
        <w:t xml:space="preserve">a Guía No 59 sustenta que en la escuela la educación para la gestión del riesgo aporta al objetivo fundamental del desarrollo humano, es decir el mejoramiento de la calidad de vida. En este sentido demanda la implementación de estrategias para reducir los niveles de vulnerabilidad social que permitan la satisfacción de necesidades básicas como empleo, educación, salud, integridad física, protección, fortalecimiento de la organización social, vivienda, entre otros. Implica, así mismo, </w:t>
      </w:r>
      <w:r w:rsidRPr="00195CD7">
        <w:rPr>
          <w:rFonts w:ascii="Arial" w:eastAsia="Arial" w:hAnsi="Arial" w:cs="Arial"/>
          <w:bCs/>
        </w:rPr>
        <w:lastRenderedPageBreak/>
        <w:t>aumentar las capacidades de las personas, organizaciones y comunidades para la toma de decisiones sobre sus procesos de desarrollo.</w:t>
      </w:r>
    </w:p>
    <w:p w:rsidR="003403CF" w:rsidRPr="009A0666" w:rsidRDefault="003403CF" w:rsidP="003403CF">
      <w:pPr>
        <w:pStyle w:val="Prrafodelista"/>
        <w:numPr>
          <w:ilvl w:val="0"/>
          <w:numId w:val="1"/>
        </w:numPr>
        <w:jc w:val="both"/>
        <w:rPr>
          <w:rFonts w:ascii="Arial" w:eastAsia="Arial" w:hAnsi="Arial" w:cs="Arial"/>
          <w:bCs/>
          <w:lang w:val="es-MX"/>
        </w:rPr>
      </w:pPr>
      <w:r w:rsidRPr="00195CD7">
        <w:rPr>
          <w:rFonts w:ascii="Arial" w:eastAsia="Arial" w:hAnsi="Arial" w:cs="Arial"/>
          <w:bCs/>
        </w:rPr>
        <w:t>Que la Guía No 59 establece otro fundamento para la gestión del riesgo en la escuela es su asociación con los derechos de protección de las NNAJ como punto de partida de la prevención, de la superación de la vulnerabilidad y el restablecimiento de los derechos. El Código de Infancia y Adolescencia7 plantea que la familia, la sociedad, el Estado -que en la práctica se concreta en la comunidad educativa-, son corresponsables de la atención, cuidado y protección de los NNAJ.</w:t>
      </w:r>
    </w:p>
    <w:p w:rsidR="009A0666" w:rsidRPr="00195CD7" w:rsidRDefault="009A0666" w:rsidP="009A0666">
      <w:pPr>
        <w:pStyle w:val="Prrafodelista"/>
        <w:jc w:val="both"/>
        <w:rPr>
          <w:rFonts w:ascii="Arial" w:eastAsia="Arial" w:hAnsi="Arial" w:cs="Arial"/>
          <w:bCs/>
          <w:lang w:val="es-MX"/>
        </w:rPr>
      </w:pPr>
    </w:p>
    <w:p w:rsidR="000865E2" w:rsidRPr="00195CD7" w:rsidRDefault="000865E2" w:rsidP="000865E2">
      <w:pPr>
        <w:pStyle w:val="Prrafodelista"/>
        <w:numPr>
          <w:ilvl w:val="0"/>
          <w:numId w:val="1"/>
        </w:numPr>
        <w:jc w:val="both"/>
        <w:rPr>
          <w:rFonts w:ascii="Arial" w:eastAsia="Arial" w:hAnsi="Arial" w:cs="Arial"/>
          <w:bCs/>
          <w:lang w:val="es-MX"/>
        </w:rPr>
      </w:pPr>
      <w:r w:rsidRPr="00195CD7">
        <w:rPr>
          <w:rFonts w:ascii="Arial" w:eastAsia="Arial" w:hAnsi="Arial" w:cs="Arial"/>
          <w:bCs/>
        </w:rPr>
        <w:t xml:space="preserve">Que la Guía No 59 en su numeral 2.2 establece los principios de la educación para la gestión de riesgo. Estos </w:t>
      </w:r>
      <w:r w:rsidR="003B00E3" w:rsidRPr="00195CD7">
        <w:rPr>
          <w:rFonts w:ascii="Arial" w:eastAsia="Arial" w:hAnsi="Arial" w:cs="Arial"/>
          <w:bCs/>
        </w:rPr>
        <w:t>principios se resumen en cuatro</w:t>
      </w:r>
      <w:r w:rsidRPr="00195CD7">
        <w:rPr>
          <w:rFonts w:ascii="Arial" w:eastAsia="Arial" w:hAnsi="Arial" w:cs="Arial"/>
          <w:bCs/>
        </w:rPr>
        <w:t xml:space="preserve"> principios fundamentales: 1) </w:t>
      </w:r>
      <w:r w:rsidR="00AD58F8" w:rsidRPr="00195CD7">
        <w:rPr>
          <w:rFonts w:ascii="Arial" w:eastAsia="Arial" w:hAnsi="Arial" w:cs="Arial"/>
          <w:bCs/>
        </w:rPr>
        <w:t>Intersectorialidad que es l</w:t>
      </w:r>
      <w:r w:rsidRPr="00195CD7">
        <w:rPr>
          <w:rFonts w:ascii="Arial" w:eastAsia="Arial" w:hAnsi="Arial" w:cs="Arial"/>
          <w:bCs/>
        </w:rPr>
        <w:t>a garantía del derecho a la educación de NNAJ no es tarea exclusiva de la escuela.</w:t>
      </w:r>
      <w:r w:rsidR="003B00E3" w:rsidRPr="00195CD7">
        <w:rPr>
          <w:rFonts w:ascii="Arial" w:eastAsia="Arial" w:hAnsi="Arial" w:cs="Arial"/>
          <w:bCs/>
        </w:rPr>
        <w:t xml:space="preserve"> 2) Acompañamiento a los procesos de educación para la gestión del riesgo de los diversos sistemas de prevención y protección, desde una visión integradora que favorezca la cualificación y pertinencia de acciones educativas. 3) Transversalidad en los establecimientos educativos es necesario reconocer el carácter transversal de la gestión del riesgo y su inclusión en la cultura escolar a través de la lectura compleja del contexto, la misión, visión y principios del PEI, el autodiagnóstico y los planes de mejoramiento institucional. Y 4) Interdisciplinariedad y transdisciplinariedad de los riesgos derivados de los fenómenos socio naturales, naturales, del conflicto armado y de la violencia generalizada exigen comprensiones e intervenciones que desbordan los conceptos y procedimientos de una disciplina de conocimiento. Adicionalmente, la realidad en su carácter multidimensional hace necesario que acudamos a diversos enfoques y métodos para su comprensión y transformación.</w:t>
      </w:r>
    </w:p>
    <w:p w:rsidR="00195CD7" w:rsidRPr="00195CD7" w:rsidRDefault="00195CD7" w:rsidP="00195CD7">
      <w:pPr>
        <w:jc w:val="both"/>
        <w:rPr>
          <w:rFonts w:ascii="Arial" w:eastAsia="Arial" w:hAnsi="Arial" w:cs="Arial"/>
          <w:bCs/>
          <w:lang w:val="es-MX"/>
        </w:rPr>
      </w:pPr>
    </w:p>
    <w:p w:rsidR="00195CD7" w:rsidRDefault="00195CD7" w:rsidP="00195CD7">
      <w:pPr>
        <w:spacing w:line="360" w:lineRule="auto"/>
        <w:jc w:val="center"/>
        <w:rPr>
          <w:rFonts w:ascii="Arial" w:hAnsi="Arial" w:cs="Arial"/>
          <w:b/>
          <w:lang w:val="es-MX"/>
        </w:rPr>
      </w:pPr>
      <w:r w:rsidRPr="00195CD7">
        <w:rPr>
          <w:rFonts w:ascii="Arial" w:hAnsi="Arial" w:cs="Arial"/>
          <w:b/>
          <w:lang w:val="es-MX"/>
        </w:rPr>
        <w:t>RESUELVE</w:t>
      </w:r>
    </w:p>
    <w:p w:rsidR="00195CD7" w:rsidRPr="00195CD7" w:rsidRDefault="00195CD7" w:rsidP="00195CD7">
      <w:pPr>
        <w:spacing w:line="360" w:lineRule="auto"/>
        <w:jc w:val="center"/>
        <w:rPr>
          <w:rFonts w:ascii="Arial" w:hAnsi="Arial" w:cs="Arial"/>
          <w:b/>
          <w:lang w:val="es-MX"/>
        </w:rPr>
      </w:pPr>
    </w:p>
    <w:p w:rsidR="00195CD7" w:rsidRDefault="00195CD7" w:rsidP="00195CD7">
      <w:pPr>
        <w:jc w:val="both"/>
        <w:rPr>
          <w:rFonts w:eastAsia="Arial"/>
        </w:rPr>
      </w:pPr>
      <w:r w:rsidRPr="00195CD7">
        <w:rPr>
          <w:rFonts w:ascii="Arial" w:hAnsi="Arial" w:cs="Arial"/>
          <w:b/>
          <w:lang w:val="es-MX"/>
        </w:rPr>
        <w:t>ARTÍCULO PRIMERO:</w:t>
      </w:r>
      <w:r>
        <w:rPr>
          <w:rFonts w:ascii="Arial" w:hAnsi="Arial" w:cs="Arial"/>
          <w:b/>
          <w:lang w:val="es-MX"/>
        </w:rPr>
        <w:t xml:space="preserve"> </w:t>
      </w:r>
      <w:r w:rsidRPr="00F23AE0">
        <w:rPr>
          <w:rFonts w:ascii="Arial" w:hAnsi="Arial" w:cs="Arial"/>
          <w:b/>
          <w:i/>
          <w:color w:val="5B9BD5" w:themeColor="accent1"/>
          <w:lang w:val="es-MX"/>
        </w:rPr>
        <w:t>Construyendo paz desde la diversidad</w:t>
      </w:r>
      <w:r w:rsidRPr="00195CD7">
        <w:rPr>
          <w:rFonts w:ascii="Arial" w:hAnsi="Arial" w:cs="Arial"/>
          <w:lang w:val="es-MX"/>
        </w:rPr>
        <w:t xml:space="preserve">: Según </w:t>
      </w:r>
      <w:r w:rsidRPr="00195CD7">
        <w:rPr>
          <w:rFonts w:ascii="Arial" w:eastAsia="Arial" w:hAnsi="Arial" w:cs="Arial"/>
          <w:b/>
        </w:rPr>
        <w:t xml:space="preserve">Ley 1732 de 2014, en su artículo 4, </w:t>
      </w:r>
      <w:r w:rsidRPr="00195CD7">
        <w:rPr>
          <w:rFonts w:ascii="Arial" w:eastAsia="Arial" w:hAnsi="Arial" w:cs="Arial"/>
        </w:rPr>
        <w:t>establece los cont</w:t>
      </w:r>
      <w:r>
        <w:rPr>
          <w:rFonts w:ascii="Arial" w:eastAsia="Arial" w:hAnsi="Arial" w:cs="Arial"/>
        </w:rPr>
        <w:t>enidos de la cátedra de la paz</w:t>
      </w:r>
      <w:r w:rsidRPr="00195CD7">
        <w:rPr>
          <w:rFonts w:ascii="Arial" w:eastAsia="Arial" w:hAnsi="Arial" w:cs="Arial"/>
        </w:rPr>
        <w:t>:</w:t>
      </w:r>
      <w:r w:rsidRPr="00195CD7">
        <w:rPr>
          <w:rFonts w:ascii="Arial" w:eastAsia="Arial" w:hAnsi="Arial" w:cs="Arial"/>
          <w:b/>
        </w:rPr>
        <w:t xml:space="preserve"> “Proyectos de vida y prevención de riesgo”. </w:t>
      </w:r>
      <w:r w:rsidRPr="00195CD7">
        <w:rPr>
          <w:rFonts w:ascii="Arial" w:eastAsia="Arial" w:hAnsi="Arial" w:cs="Arial"/>
        </w:rPr>
        <w:t xml:space="preserve">Se delega la participación en el </w:t>
      </w:r>
      <w:r>
        <w:rPr>
          <w:rFonts w:ascii="Arial" w:eastAsia="Arial" w:hAnsi="Arial" w:cs="Arial"/>
          <w:b/>
        </w:rPr>
        <w:t xml:space="preserve">comité </w:t>
      </w:r>
      <w:r w:rsidRPr="00195CD7">
        <w:rPr>
          <w:rFonts w:ascii="Arial" w:eastAsia="Arial" w:hAnsi="Arial" w:cs="Arial"/>
          <w:b/>
        </w:rPr>
        <w:t>de brigada riesgo sicosocial</w:t>
      </w:r>
      <w:r w:rsidRPr="00195CD7">
        <w:rPr>
          <w:rFonts w:ascii="Arial" w:eastAsia="Arial" w:hAnsi="Arial" w:cs="Arial"/>
        </w:rPr>
        <w:t xml:space="preserve">, </w:t>
      </w:r>
      <w:r w:rsidR="00FB44FD" w:rsidRPr="00195CD7">
        <w:rPr>
          <w:rFonts w:ascii="Arial" w:eastAsia="Arial" w:hAnsi="Arial" w:cs="Arial"/>
        </w:rPr>
        <w:t>dónde se</w:t>
      </w:r>
      <w:r w:rsidRPr="00195CD7">
        <w:rPr>
          <w:rFonts w:ascii="Arial" w:eastAsia="Arial" w:hAnsi="Arial" w:cs="Arial"/>
        </w:rPr>
        <w:t xml:space="preserve"> pueda desarrollar una actividad semestral que arroje un producto determin</w:t>
      </w:r>
      <w:r w:rsidR="00356918">
        <w:rPr>
          <w:rFonts w:ascii="Arial" w:eastAsia="Arial" w:hAnsi="Arial" w:cs="Arial"/>
        </w:rPr>
        <w:t>ado que será evidenciado en el Classroom institucional</w:t>
      </w:r>
      <w:r w:rsidRPr="00195CD7">
        <w:rPr>
          <w:rFonts w:ascii="Arial" w:eastAsia="Arial" w:hAnsi="Arial" w:cs="Arial"/>
        </w:rPr>
        <w:t xml:space="preserve"> orientado a nivel de </w:t>
      </w:r>
      <w:r w:rsidR="00FB44FD" w:rsidRPr="00195CD7">
        <w:rPr>
          <w:rFonts w:ascii="Arial" w:eastAsia="Arial" w:hAnsi="Arial" w:cs="Arial"/>
        </w:rPr>
        <w:t>rectoría,</w:t>
      </w:r>
      <w:r w:rsidRPr="00195CD7">
        <w:rPr>
          <w:rFonts w:ascii="Arial" w:eastAsia="Arial" w:hAnsi="Arial" w:cs="Arial"/>
        </w:rPr>
        <w:t xml:space="preserve"> buscando como objetivo </w:t>
      </w:r>
      <w:r w:rsidR="00FB44FD" w:rsidRPr="00195CD7">
        <w:rPr>
          <w:rFonts w:ascii="Arial" w:eastAsia="Arial" w:hAnsi="Arial" w:cs="Arial"/>
        </w:rPr>
        <w:t>principal:</w:t>
      </w:r>
      <w:r w:rsidRPr="00195CD7">
        <w:rPr>
          <w:rFonts w:ascii="Arial" w:eastAsia="Arial" w:hAnsi="Arial" w:cs="Arial"/>
        </w:rPr>
        <w:t xml:space="preserve"> Implementar y desarrollar </w:t>
      </w:r>
      <w:r w:rsidRPr="00195CD7">
        <w:rPr>
          <w:rFonts w:ascii="Arial" w:eastAsia="Arial" w:hAnsi="Arial" w:cs="Arial"/>
          <w:b/>
        </w:rPr>
        <w:t>actividades de prevención de accidentes de trabajo y enfermedades laborales</w:t>
      </w:r>
      <w:r w:rsidRPr="00195CD7">
        <w:rPr>
          <w:rFonts w:ascii="Arial" w:eastAsia="Arial" w:hAnsi="Arial" w:cs="Arial"/>
        </w:rPr>
        <w:t xml:space="preserve">, así como de promoción de la </w:t>
      </w:r>
      <w:r w:rsidR="00FB44FD" w:rsidRPr="00195CD7">
        <w:rPr>
          <w:rFonts w:ascii="Arial" w:eastAsia="Arial" w:hAnsi="Arial" w:cs="Arial"/>
        </w:rPr>
        <w:t>salud.</w:t>
      </w:r>
      <w:r>
        <w:rPr>
          <w:rFonts w:eastAsia="Arial"/>
        </w:rPr>
        <w:t xml:space="preserve"> </w:t>
      </w:r>
    </w:p>
    <w:p w:rsidR="00F23AE0" w:rsidRDefault="00F23AE0" w:rsidP="00195CD7">
      <w:pPr>
        <w:jc w:val="both"/>
        <w:rPr>
          <w:rFonts w:ascii="Arial" w:hAnsi="Arial" w:cs="Arial"/>
          <w:color w:val="000000"/>
          <w:shd w:val="clear" w:color="auto" w:fill="FFFFFF"/>
        </w:rPr>
      </w:pPr>
      <w:r>
        <w:rPr>
          <w:rFonts w:eastAsia="Arial"/>
          <w:b/>
        </w:rPr>
        <w:t>ARTÍCULO SEGUNDO</w:t>
      </w:r>
      <w:r w:rsidRPr="00F23AE0">
        <w:rPr>
          <w:rFonts w:ascii="Arial" w:eastAsia="Arial" w:hAnsi="Arial" w:cs="Arial"/>
          <w:b/>
        </w:rPr>
        <w:t xml:space="preserve">: </w:t>
      </w:r>
      <w:r w:rsidRPr="00F23AE0">
        <w:rPr>
          <w:rFonts w:ascii="Arial" w:eastAsia="Arial" w:hAnsi="Arial" w:cs="Arial"/>
          <w:b/>
          <w:i/>
          <w:color w:val="5B9BD5" w:themeColor="accent1"/>
        </w:rPr>
        <w:t>Estudio y práctica de la constitución</w:t>
      </w:r>
      <w:r w:rsidRPr="00F23AE0">
        <w:rPr>
          <w:rFonts w:ascii="Arial" w:eastAsia="Arial" w:hAnsi="Arial" w:cs="Arial"/>
          <w:b/>
          <w:color w:val="5B9BD5" w:themeColor="accent1"/>
        </w:rPr>
        <w:t>:</w:t>
      </w:r>
      <w:r w:rsidRPr="00F23AE0">
        <w:rPr>
          <w:rFonts w:ascii="Arial" w:eastAsia="Arial" w:hAnsi="Arial" w:cs="Arial"/>
          <w:color w:val="5B9BD5" w:themeColor="accent1"/>
        </w:rPr>
        <w:t xml:space="preserve"> </w:t>
      </w:r>
      <w:r w:rsidRPr="00F23AE0">
        <w:rPr>
          <w:rFonts w:ascii="Arial" w:eastAsia="Arial" w:hAnsi="Arial" w:cs="Arial"/>
        </w:rPr>
        <w:t xml:space="preserve">Según lo establecido en el artículo 67 de la </w:t>
      </w:r>
      <w:r w:rsidRPr="00F23AE0">
        <w:rPr>
          <w:rFonts w:ascii="Arial" w:hAnsi="Arial" w:cs="Arial"/>
        </w:rPr>
        <w:t xml:space="preserve">Constitución Política Colombiana: “La educación es un derecho de la </w:t>
      </w:r>
      <w:r w:rsidRPr="00F23AE0">
        <w:rPr>
          <w:rFonts w:ascii="Arial" w:hAnsi="Arial" w:cs="Arial"/>
        </w:rPr>
        <w:lastRenderedPageBreak/>
        <w:t xml:space="preserve">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ambiente” según lo anterior se le delega la participación de este proyecto en el </w:t>
      </w:r>
      <w:r w:rsidRPr="00F23AE0">
        <w:rPr>
          <w:rFonts w:ascii="Arial" w:hAnsi="Arial" w:cs="Arial"/>
          <w:b/>
        </w:rPr>
        <w:t>comité de  brigada  riesgos biológicos</w:t>
      </w:r>
      <w:r w:rsidRPr="00F23AE0">
        <w:rPr>
          <w:rFonts w:ascii="Arial" w:hAnsi="Arial" w:cs="Arial"/>
        </w:rPr>
        <w:t xml:space="preserve"> , </w:t>
      </w:r>
      <w:r w:rsidRPr="00F23AE0">
        <w:rPr>
          <w:rFonts w:ascii="Arial" w:eastAsia="Arial" w:hAnsi="Arial" w:cs="Arial"/>
        </w:rPr>
        <w:t xml:space="preserve">dónde  se pueda desarrollar una actividad semestral que arroje un producto determinado que será evidenciado </w:t>
      </w:r>
      <w:r w:rsidR="00356918">
        <w:rPr>
          <w:rFonts w:ascii="Arial" w:eastAsia="Arial" w:hAnsi="Arial" w:cs="Arial"/>
        </w:rPr>
        <w:t>en el Classroom institucional</w:t>
      </w:r>
      <w:r w:rsidR="00356918" w:rsidRPr="00195CD7">
        <w:rPr>
          <w:rFonts w:ascii="Arial" w:eastAsia="Arial" w:hAnsi="Arial" w:cs="Arial"/>
        </w:rPr>
        <w:t xml:space="preserve"> </w:t>
      </w:r>
      <w:r w:rsidRPr="00F23AE0">
        <w:rPr>
          <w:rFonts w:ascii="Arial" w:eastAsia="Arial" w:hAnsi="Arial" w:cs="Arial"/>
        </w:rPr>
        <w:t>orientado a nivel de rectoría , busca</w:t>
      </w:r>
      <w:r>
        <w:rPr>
          <w:rFonts w:ascii="Arial" w:eastAsia="Arial" w:hAnsi="Arial" w:cs="Arial"/>
        </w:rPr>
        <w:t>ndo como objetivo principal</w:t>
      </w:r>
      <w:r w:rsidRPr="00F23AE0">
        <w:rPr>
          <w:rFonts w:ascii="Arial" w:eastAsia="Arial" w:hAnsi="Arial" w:cs="Arial"/>
        </w:rPr>
        <w:t>: “</w:t>
      </w:r>
      <w:r w:rsidRPr="00F23AE0">
        <w:rPr>
          <w:rFonts w:ascii="Arial" w:hAnsi="Arial" w:cs="Arial"/>
          <w:color w:val="000000"/>
          <w:shd w:val="clear" w:color="auto" w:fill="FFFFFF"/>
        </w:rPr>
        <w:t>evaluar y prevenir o reducir los efectos adversos asociados a la investigación con agentes biológicos con la finalidad de garantizar el uso correcto de las instalaciones por parte de cada uno de los miembros de la comunidad.</w:t>
      </w:r>
    </w:p>
    <w:p w:rsidR="00F23AE0" w:rsidRDefault="00F23AE0" w:rsidP="00B15F65">
      <w:pPr>
        <w:jc w:val="both"/>
        <w:rPr>
          <w:rFonts w:ascii="Arial" w:eastAsia="Arial" w:hAnsi="Arial" w:cs="Arial"/>
        </w:rPr>
      </w:pPr>
      <w:r>
        <w:rPr>
          <w:rFonts w:ascii="Arial" w:hAnsi="Arial" w:cs="Arial"/>
          <w:b/>
          <w:color w:val="000000"/>
          <w:shd w:val="clear" w:color="auto" w:fill="FFFFFF"/>
        </w:rPr>
        <w:t xml:space="preserve">ARTÍCULO TERCERO: </w:t>
      </w:r>
      <w:r w:rsidR="00B15F65" w:rsidRPr="00B15F65">
        <w:rPr>
          <w:rFonts w:ascii="Arial" w:hAnsi="Arial" w:cs="Arial"/>
          <w:b/>
          <w:i/>
          <w:color w:val="5B9BD5" w:themeColor="accent1"/>
          <w:shd w:val="clear" w:color="auto" w:fill="FFFFFF"/>
        </w:rPr>
        <w:t>Me siento vivo y convivo</w:t>
      </w:r>
      <w:r w:rsidR="00B15F65" w:rsidRPr="00B15F65">
        <w:rPr>
          <w:rFonts w:ascii="Arial" w:hAnsi="Arial" w:cs="Arial"/>
          <w:b/>
          <w:color w:val="5B9BD5" w:themeColor="accent1"/>
          <w:shd w:val="clear" w:color="auto" w:fill="FFFFFF"/>
        </w:rPr>
        <w:t>:</w:t>
      </w:r>
      <w:r w:rsidR="00B15F65" w:rsidRPr="00B15F65">
        <w:rPr>
          <w:rFonts w:ascii="Arial" w:hAnsi="Arial" w:cs="Arial"/>
          <w:color w:val="5B9BD5" w:themeColor="accent1"/>
          <w:shd w:val="clear" w:color="auto" w:fill="FFFFFF"/>
        </w:rPr>
        <w:t xml:space="preserve"> </w:t>
      </w:r>
      <w:r w:rsidR="00B15F65" w:rsidRPr="00B15F65">
        <w:rPr>
          <w:rFonts w:ascii="Arial" w:hAnsi="Arial" w:cs="Arial"/>
        </w:rPr>
        <w:t xml:space="preserve">“Me siento vivo y convivo” se convierte en un proyecto enfocado en las dimensiones humanas y sociales de la comunidad educativa, </w:t>
      </w:r>
      <w:r w:rsidR="00B15F65" w:rsidRPr="00B15F65">
        <w:rPr>
          <w:rFonts w:ascii="Arial" w:hAnsi="Arial" w:cs="Arial"/>
          <w:b/>
        </w:rPr>
        <w:t>ley 1620 de 2013</w:t>
      </w:r>
      <w:r w:rsidR="00B15F65" w:rsidRPr="00B15F65">
        <w:rPr>
          <w:rFonts w:ascii="Arial" w:hAnsi="Arial" w:cs="Arial"/>
        </w:rPr>
        <w:t xml:space="preserve">, donde la ley resalta  proyectos de vida en construcción, con necesidades de información, espacios de reflexión, discusión , cuestionamiento y encuentro de experiencias en torno a los aspectos cotidianos de la vida como el </w:t>
      </w:r>
      <w:r w:rsidR="00B15F65" w:rsidRPr="00B15F65">
        <w:rPr>
          <w:rFonts w:ascii="Arial" w:hAnsi="Arial" w:cs="Arial"/>
          <w:b/>
        </w:rPr>
        <w:t>cuidado del cuerpo</w:t>
      </w:r>
      <w:r w:rsidR="00B15F65" w:rsidRPr="00B15F65">
        <w:rPr>
          <w:rFonts w:ascii="Arial" w:hAnsi="Arial" w:cs="Arial"/>
        </w:rPr>
        <w:t xml:space="preserve">, la sexualidad, la de conductas de riesgo, embarazo adolecente, la práctica de valores y la convivencia pacífica y armoniosa. Por lo anterior , se delega su participación en el </w:t>
      </w:r>
      <w:r w:rsidR="00B15F65" w:rsidRPr="00B15F65">
        <w:rPr>
          <w:rFonts w:ascii="Arial" w:hAnsi="Arial" w:cs="Arial"/>
          <w:b/>
        </w:rPr>
        <w:t>comité de  brigada de primeros auxilios</w:t>
      </w:r>
      <w:r w:rsidR="00B15F65" w:rsidRPr="00B15F65">
        <w:rPr>
          <w:rFonts w:ascii="Arial" w:hAnsi="Arial" w:cs="Arial"/>
        </w:rPr>
        <w:t xml:space="preserve">, </w:t>
      </w:r>
      <w:r w:rsidR="00B15F65" w:rsidRPr="00B15F65">
        <w:rPr>
          <w:rFonts w:ascii="Arial" w:eastAsia="Arial" w:hAnsi="Arial" w:cs="Arial"/>
        </w:rPr>
        <w:t xml:space="preserve">dónde  se pueda desarrollar una actividad semestral que arroje un producto determinado que será evidenciado </w:t>
      </w:r>
      <w:r w:rsidR="00356918">
        <w:rPr>
          <w:rFonts w:ascii="Arial" w:eastAsia="Arial" w:hAnsi="Arial" w:cs="Arial"/>
        </w:rPr>
        <w:t>en el Classroom institucional</w:t>
      </w:r>
      <w:r w:rsidR="00356918" w:rsidRPr="00195CD7">
        <w:rPr>
          <w:rFonts w:ascii="Arial" w:eastAsia="Arial" w:hAnsi="Arial" w:cs="Arial"/>
        </w:rPr>
        <w:t xml:space="preserve"> </w:t>
      </w:r>
      <w:r w:rsidR="00B15F65" w:rsidRPr="00B15F65">
        <w:rPr>
          <w:rFonts w:ascii="Arial" w:eastAsia="Arial" w:hAnsi="Arial" w:cs="Arial"/>
        </w:rPr>
        <w:t>orientado a nivel de rectoría , buscando como objetivo principal :</w:t>
      </w:r>
      <w:r w:rsidR="00B15F65" w:rsidRPr="00B15F65">
        <w:rPr>
          <w:rFonts w:ascii="Arial" w:hAnsi="Arial" w:cs="Arial"/>
          <w:color w:val="54595F"/>
          <w:sz w:val="30"/>
          <w:szCs w:val="30"/>
          <w:shd w:val="clear" w:color="auto" w:fill="FFFFFF"/>
        </w:rPr>
        <w:t xml:space="preserve"> </w:t>
      </w:r>
      <w:r w:rsidR="00B15F65" w:rsidRPr="00B15F65">
        <w:rPr>
          <w:rFonts w:ascii="Arial" w:eastAsia="Arial" w:hAnsi="Arial" w:cs="Arial"/>
        </w:rPr>
        <w:t> ayudar y salvaguardar la integridad física y emocional  de los miembros de la comunidad educativa  ante algún siniestro , accidente o trauma    que se presente de manera inesperada y que llegue a ocurrir dentro de las instalaciones de la institución educativa.</w:t>
      </w:r>
    </w:p>
    <w:p w:rsidR="001E6C83" w:rsidRDefault="001E6C83" w:rsidP="001E6C83">
      <w:pPr>
        <w:jc w:val="both"/>
        <w:rPr>
          <w:rFonts w:ascii="Arial" w:eastAsia="Arial" w:hAnsi="Arial" w:cs="Arial"/>
        </w:rPr>
      </w:pPr>
      <w:r>
        <w:rPr>
          <w:rFonts w:ascii="Arial" w:eastAsia="Arial" w:hAnsi="Arial" w:cs="Arial"/>
          <w:b/>
        </w:rPr>
        <w:t>ARTÍCULO CUARTO</w:t>
      </w:r>
      <w:r w:rsidRPr="001E6C83">
        <w:rPr>
          <w:rFonts w:ascii="Arial" w:eastAsia="Arial" w:hAnsi="Arial" w:cs="Arial"/>
          <w:b/>
          <w:i/>
        </w:rPr>
        <w:t xml:space="preserve">: </w:t>
      </w:r>
      <w:r w:rsidRPr="001E6C83">
        <w:rPr>
          <w:rFonts w:ascii="Arial" w:eastAsia="Arial" w:hAnsi="Arial" w:cs="Arial"/>
          <w:i/>
        </w:rPr>
        <w:t xml:space="preserve"> </w:t>
      </w:r>
      <w:r w:rsidRPr="001E6C83">
        <w:rPr>
          <w:rFonts w:ascii="Arial" w:eastAsia="Arial" w:hAnsi="Arial" w:cs="Arial"/>
          <w:b/>
          <w:i/>
          <w:color w:val="5B9BD5" w:themeColor="accent1"/>
        </w:rPr>
        <w:t>Saludarte</w:t>
      </w:r>
      <w:r w:rsidRPr="001E6C83">
        <w:rPr>
          <w:rFonts w:ascii="Arial" w:eastAsia="Arial" w:hAnsi="Arial" w:cs="Arial"/>
          <w:b/>
          <w:color w:val="5B9BD5" w:themeColor="accent1"/>
        </w:rPr>
        <w:t xml:space="preserve">:  </w:t>
      </w:r>
      <w:r w:rsidRPr="001E6C83">
        <w:rPr>
          <w:rFonts w:ascii="Arial" w:eastAsia="Arial" w:hAnsi="Arial" w:cs="Arial"/>
        </w:rPr>
        <w:t xml:space="preserve">Desde el </w:t>
      </w:r>
      <w:r w:rsidRPr="001E6C83">
        <w:rPr>
          <w:rFonts w:ascii="Arial" w:eastAsia="Arial" w:hAnsi="Arial" w:cs="Arial"/>
          <w:b/>
        </w:rPr>
        <w:t>artículo 204 de la ley general 115 de 1994 de educación</w:t>
      </w:r>
      <w:r w:rsidRPr="001E6C83">
        <w:rPr>
          <w:rFonts w:ascii="Arial" w:eastAsia="Arial" w:hAnsi="Arial" w:cs="Arial"/>
        </w:rPr>
        <w:t xml:space="preserve"> - educación en el ambiente -, propone espacios pedagógicos protegidos para el desarrollo de diferentes actividades lúdicas y recreativas. Por lo anterior se decide delegar el comité de </w:t>
      </w:r>
      <w:r w:rsidRPr="001E6C83">
        <w:rPr>
          <w:rFonts w:ascii="Arial" w:eastAsia="Arial" w:hAnsi="Arial" w:cs="Arial"/>
          <w:b/>
        </w:rPr>
        <w:t>brigada contra incendios</w:t>
      </w:r>
      <w:r w:rsidRPr="001E6C83">
        <w:rPr>
          <w:rFonts w:ascii="Arial" w:eastAsia="Arial" w:hAnsi="Arial" w:cs="Arial"/>
        </w:rPr>
        <w:t xml:space="preserve">, dónde se pueda desarrollar una actividad semestral que arroje un producto determinado que será evidenciado </w:t>
      </w:r>
      <w:r w:rsidR="00356918">
        <w:rPr>
          <w:rFonts w:ascii="Arial" w:eastAsia="Arial" w:hAnsi="Arial" w:cs="Arial"/>
        </w:rPr>
        <w:t>en el Classroom institucional</w:t>
      </w:r>
      <w:r w:rsidR="00356918" w:rsidRPr="00195CD7">
        <w:rPr>
          <w:rFonts w:ascii="Arial" w:eastAsia="Arial" w:hAnsi="Arial" w:cs="Arial"/>
        </w:rPr>
        <w:t xml:space="preserve"> </w:t>
      </w:r>
      <w:r w:rsidRPr="001E6C83">
        <w:rPr>
          <w:rFonts w:ascii="Arial" w:eastAsia="Arial" w:hAnsi="Arial" w:cs="Arial"/>
        </w:rPr>
        <w:t>orientado a nivel de rectoría, buscando como objetivo principal:</w:t>
      </w:r>
      <w:r w:rsidRPr="001E6C83">
        <w:rPr>
          <w:rFonts w:ascii="Arial" w:hAnsi="Arial" w:cs="Arial"/>
          <w:color w:val="54595F"/>
          <w:sz w:val="30"/>
          <w:szCs w:val="30"/>
          <w:shd w:val="clear" w:color="auto" w:fill="FFFFFF"/>
        </w:rPr>
        <w:t xml:space="preserve"> </w:t>
      </w:r>
      <w:r w:rsidRPr="001E6C83">
        <w:rPr>
          <w:rFonts w:ascii="Arial" w:eastAsia="Arial" w:hAnsi="Arial" w:cs="Arial"/>
        </w:rPr>
        <w:t> </w:t>
      </w:r>
      <w:r w:rsidRPr="001E6C83">
        <w:rPr>
          <w:rFonts w:ascii="Arial" w:eastAsia="Arial" w:hAnsi="Arial" w:cs="Arial"/>
          <w:bCs/>
        </w:rPr>
        <w:t>Reducir los riesgos de accidentes por incendios que puedan ocurrir dentro de la In</w:t>
      </w:r>
      <w:r w:rsidRPr="001E6C83">
        <w:rPr>
          <w:rFonts w:ascii="Arial" w:eastAsia="Arial" w:hAnsi="Arial" w:cs="Arial"/>
        </w:rPr>
        <w:t>stitución.</w:t>
      </w:r>
    </w:p>
    <w:p w:rsidR="009A0666" w:rsidRDefault="00BB6C18" w:rsidP="001E6C83">
      <w:pPr>
        <w:jc w:val="both"/>
        <w:rPr>
          <w:rFonts w:ascii="Arial" w:eastAsia="Arial" w:hAnsi="Arial" w:cs="Arial"/>
        </w:rPr>
      </w:pPr>
      <w:r>
        <w:rPr>
          <w:rFonts w:ascii="Arial" w:eastAsia="Arial" w:hAnsi="Arial" w:cs="Arial"/>
          <w:b/>
        </w:rPr>
        <w:t xml:space="preserve">ARTÍCULO QUINTO: </w:t>
      </w:r>
      <w:r w:rsidRPr="00BB6C18">
        <w:rPr>
          <w:rFonts w:ascii="Arial" w:eastAsia="Arial" w:hAnsi="Arial" w:cs="Arial"/>
          <w:b/>
          <w:color w:val="5B9BD5" w:themeColor="accent1"/>
        </w:rPr>
        <w:t xml:space="preserve">Armonía con nuestro entorno: </w:t>
      </w:r>
      <w:r w:rsidRPr="00BB6C18">
        <w:rPr>
          <w:rFonts w:ascii="Arial" w:eastAsia="Arial" w:hAnsi="Arial" w:cs="Arial"/>
        </w:rPr>
        <w:t xml:space="preserve">Con </w:t>
      </w:r>
      <w:r w:rsidRPr="00BB6C18">
        <w:rPr>
          <w:rFonts w:ascii="Arial" w:eastAsia="Arial" w:hAnsi="Arial" w:cs="Arial"/>
          <w:b/>
        </w:rPr>
        <w:t>ley 1523 de 2012</w:t>
      </w:r>
      <w:r w:rsidRPr="00BB6C18">
        <w:rPr>
          <w:rFonts w:ascii="Arial" w:eastAsia="Arial" w:hAnsi="Arial" w:cs="Arial"/>
        </w:rPr>
        <w:t xml:space="preserve">, se gestiona el plan escolar de riesgo y   con la </w:t>
      </w:r>
      <w:r w:rsidRPr="00BB6C18">
        <w:rPr>
          <w:rFonts w:ascii="Arial" w:eastAsia="Arial" w:hAnsi="Arial" w:cs="Arial"/>
          <w:b/>
        </w:rPr>
        <w:t>ley 1549 de 2012 (PRAE)</w:t>
      </w:r>
      <w:r w:rsidRPr="00BB6C18">
        <w:rPr>
          <w:rFonts w:ascii="Arial" w:eastAsia="Arial" w:hAnsi="Arial" w:cs="Arial"/>
        </w:rPr>
        <w:t xml:space="preserve"> se busca un ambiente sostenible y protegido para la función educativa. Se delega el </w:t>
      </w:r>
      <w:r w:rsidRPr="00BB6C18">
        <w:rPr>
          <w:rFonts w:ascii="Arial" w:eastAsia="Arial" w:hAnsi="Arial" w:cs="Arial"/>
          <w:b/>
        </w:rPr>
        <w:t>comité Brigada de evacuación,</w:t>
      </w:r>
      <w:r w:rsidRPr="00BB6C18">
        <w:rPr>
          <w:rFonts w:ascii="Arial" w:eastAsia="Arial" w:hAnsi="Arial" w:cs="Arial"/>
        </w:rPr>
        <w:t xml:space="preserve"> dónde se pueda desarrollar una actividad semestral que arroje un producto determinado que será evidenciado </w:t>
      </w:r>
      <w:r w:rsidR="00356918">
        <w:rPr>
          <w:rFonts w:ascii="Arial" w:eastAsia="Arial" w:hAnsi="Arial" w:cs="Arial"/>
        </w:rPr>
        <w:t>en el Classroom institucional</w:t>
      </w:r>
      <w:r w:rsidRPr="00BB6C18">
        <w:rPr>
          <w:rFonts w:ascii="Arial" w:eastAsia="Arial" w:hAnsi="Arial" w:cs="Arial"/>
        </w:rPr>
        <w:t xml:space="preserve"> orientado a nivel de </w:t>
      </w:r>
      <w:r w:rsidR="00C47AD2" w:rsidRPr="00BB6C18">
        <w:rPr>
          <w:rFonts w:ascii="Arial" w:eastAsia="Arial" w:hAnsi="Arial" w:cs="Arial"/>
        </w:rPr>
        <w:t>rectoría,</w:t>
      </w:r>
      <w:r w:rsidRPr="00BB6C18">
        <w:rPr>
          <w:rFonts w:ascii="Arial" w:eastAsia="Arial" w:hAnsi="Arial" w:cs="Arial"/>
        </w:rPr>
        <w:t xml:space="preserve"> buscando como objetivo </w:t>
      </w:r>
      <w:r w:rsidR="00D429CF" w:rsidRPr="00BB6C18">
        <w:rPr>
          <w:rFonts w:ascii="Arial" w:eastAsia="Arial" w:hAnsi="Arial" w:cs="Arial"/>
        </w:rPr>
        <w:t>principal:</w:t>
      </w:r>
      <w:r w:rsidRPr="00BB6C18">
        <w:rPr>
          <w:rFonts w:ascii="Arial" w:eastAsia="Arial" w:hAnsi="Arial" w:cs="Arial"/>
        </w:rPr>
        <w:t xml:space="preserve"> </w:t>
      </w:r>
      <w:r w:rsidRPr="00BB6C18">
        <w:rPr>
          <w:rFonts w:ascii="Arial" w:eastAsia="Arial" w:hAnsi="Arial" w:cs="Arial"/>
          <w:bCs/>
        </w:rPr>
        <w:t>Reconocer las zonas de peligro, seguridad y rutas de evacuación</w:t>
      </w:r>
      <w:r w:rsidRPr="00BB6C18">
        <w:rPr>
          <w:rFonts w:ascii="Arial" w:eastAsia="Arial" w:hAnsi="Arial" w:cs="Arial"/>
        </w:rPr>
        <w:t> de la I.E.</w:t>
      </w:r>
      <w:r w:rsidR="009A0666">
        <w:rPr>
          <w:rFonts w:ascii="Arial" w:eastAsia="Arial" w:hAnsi="Arial" w:cs="Arial"/>
        </w:rPr>
        <w:t xml:space="preserve"> </w:t>
      </w:r>
    </w:p>
    <w:p w:rsidR="009A0666" w:rsidRDefault="009A0666" w:rsidP="001E6C83">
      <w:pPr>
        <w:jc w:val="both"/>
        <w:rPr>
          <w:rFonts w:ascii="Arial" w:eastAsia="Arial" w:hAnsi="Arial" w:cs="Arial"/>
        </w:rPr>
      </w:pPr>
    </w:p>
    <w:p w:rsidR="009A0666" w:rsidRDefault="009A0666" w:rsidP="001E6C83">
      <w:pPr>
        <w:jc w:val="both"/>
        <w:rPr>
          <w:rFonts w:ascii="Arial" w:eastAsia="Arial" w:hAnsi="Arial" w:cs="Arial"/>
        </w:rPr>
      </w:pPr>
    </w:p>
    <w:p w:rsidR="009A0666" w:rsidRPr="00FB45D1" w:rsidRDefault="009A0666" w:rsidP="009A0666">
      <w:pPr>
        <w:spacing w:line="360" w:lineRule="auto"/>
        <w:jc w:val="both"/>
        <w:rPr>
          <w:rFonts w:ascii="Arial" w:eastAsia="Arial" w:hAnsi="Arial" w:cs="Arial"/>
          <w:lang w:val="es-MX"/>
        </w:rPr>
      </w:pPr>
      <w:r>
        <w:rPr>
          <w:rFonts w:ascii="Arial" w:eastAsia="Arial" w:hAnsi="Arial" w:cs="Arial"/>
          <w:b/>
          <w:lang w:val="es-MX"/>
        </w:rPr>
        <w:t xml:space="preserve">ARTÍCULO SEXTO: </w:t>
      </w:r>
      <w:r w:rsidRPr="00FB45D1">
        <w:rPr>
          <w:rFonts w:ascii="Arial" w:eastAsia="Arial" w:hAnsi="Arial" w:cs="Arial"/>
          <w:lang w:val="es-MX"/>
        </w:rPr>
        <w:t>La presente Resolución rige a partir de su fecha de expedición y deroga todas las disposiciones que le sean contrarias.</w:t>
      </w:r>
    </w:p>
    <w:p w:rsidR="009A0666" w:rsidRPr="00FB45D1" w:rsidRDefault="009A0666" w:rsidP="009A0666">
      <w:pPr>
        <w:spacing w:line="360" w:lineRule="auto"/>
        <w:jc w:val="both"/>
        <w:rPr>
          <w:rFonts w:ascii="Arial" w:eastAsia="Arial" w:hAnsi="Arial" w:cs="Arial"/>
          <w:lang w:val="es-MX"/>
        </w:rPr>
      </w:pPr>
    </w:p>
    <w:p w:rsidR="009A0666" w:rsidRPr="00FB45D1" w:rsidRDefault="009A0666" w:rsidP="009A0666">
      <w:pPr>
        <w:spacing w:line="360" w:lineRule="auto"/>
        <w:jc w:val="both"/>
        <w:rPr>
          <w:rFonts w:ascii="Arial" w:eastAsia="Arial" w:hAnsi="Arial" w:cs="Arial"/>
          <w:lang w:val="es-MX"/>
        </w:rPr>
      </w:pPr>
      <w:r w:rsidRPr="00FB45D1">
        <w:rPr>
          <w:rFonts w:ascii="Arial" w:eastAsia="Arial" w:hAnsi="Arial" w:cs="Arial"/>
          <w:lang w:val="es-MX"/>
        </w:rPr>
        <w:t xml:space="preserve">Dada en Medellín a los </w:t>
      </w:r>
      <w:r>
        <w:rPr>
          <w:rFonts w:ascii="Arial" w:eastAsia="Arial" w:hAnsi="Arial" w:cs="Arial"/>
          <w:lang w:val="es-MX"/>
        </w:rPr>
        <w:t>26</w:t>
      </w:r>
      <w:r w:rsidRPr="00FB45D1">
        <w:rPr>
          <w:rFonts w:ascii="Arial" w:eastAsia="Arial" w:hAnsi="Arial" w:cs="Arial"/>
          <w:lang w:val="es-MX"/>
        </w:rPr>
        <w:t xml:space="preserve"> días del mes de </w:t>
      </w:r>
      <w:r>
        <w:rPr>
          <w:rFonts w:ascii="Arial" w:eastAsia="Arial" w:hAnsi="Arial" w:cs="Arial"/>
          <w:lang w:val="es-MX"/>
        </w:rPr>
        <w:t>febrero de 2025.</w:t>
      </w:r>
    </w:p>
    <w:p w:rsidR="009A0666" w:rsidRPr="00FB45D1" w:rsidRDefault="009A0666" w:rsidP="009A0666">
      <w:pPr>
        <w:spacing w:line="360" w:lineRule="auto"/>
        <w:jc w:val="center"/>
        <w:rPr>
          <w:rFonts w:ascii="Arial" w:eastAsia="Arial" w:hAnsi="Arial" w:cs="Arial"/>
          <w:lang w:val="es-MX"/>
        </w:rPr>
      </w:pPr>
    </w:p>
    <w:p w:rsidR="009A0666" w:rsidRPr="00FB45D1" w:rsidRDefault="009A0666" w:rsidP="009A0666">
      <w:pPr>
        <w:spacing w:line="360" w:lineRule="auto"/>
        <w:rPr>
          <w:rFonts w:ascii="Arial" w:eastAsia="Arial" w:hAnsi="Arial" w:cs="Arial"/>
          <w:b/>
          <w:lang w:val="es-MX"/>
        </w:rPr>
      </w:pPr>
    </w:p>
    <w:p w:rsidR="009A0666" w:rsidRPr="00FB45D1" w:rsidRDefault="009A0666" w:rsidP="009A0666">
      <w:pPr>
        <w:spacing w:line="360" w:lineRule="auto"/>
        <w:jc w:val="center"/>
        <w:rPr>
          <w:rFonts w:ascii="Arial" w:eastAsia="Arial" w:hAnsi="Arial" w:cs="Arial"/>
          <w:b/>
          <w:lang w:val="es-MX"/>
        </w:rPr>
      </w:pPr>
      <w:r w:rsidRPr="00FB45D1">
        <w:rPr>
          <w:rFonts w:ascii="Arial" w:eastAsia="Arial" w:hAnsi="Arial" w:cs="Arial"/>
          <w:b/>
          <w:lang w:val="es-MX"/>
        </w:rPr>
        <w:t>Comuníquese, publíquese y cúmplase</w:t>
      </w:r>
    </w:p>
    <w:p w:rsidR="009A0666" w:rsidRDefault="009A0666" w:rsidP="009A0666">
      <w:pPr>
        <w:spacing w:line="360" w:lineRule="auto"/>
        <w:jc w:val="center"/>
        <w:rPr>
          <w:rFonts w:ascii="Arial" w:eastAsia="Arial" w:hAnsi="Arial" w:cs="Arial"/>
        </w:rPr>
      </w:pPr>
    </w:p>
    <w:p w:rsidR="009A0666" w:rsidRPr="00981EE4" w:rsidRDefault="00EB7827" w:rsidP="009A0666">
      <w:pPr>
        <w:spacing w:line="360" w:lineRule="auto"/>
        <w:jc w:val="both"/>
        <w:rPr>
          <w:rFonts w:ascii="Arial" w:hAnsi="Arial" w:cs="Arial"/>
          <w:b/>
        </w:rPr>
      </w:pPr>
      <w:r w:rsidRPr="00237C49">
        <w:rPr>
          <w:rFonts w:ascii="Arial" w:hAnsi="Arial" w:cs="Arial"/>
          <w:noProof/>
          <w:color w:val="222222"/>
          <w:sz w:val="20"/>
          <w:szCs w:val="20"/>
          <w:shd w:val="clear" w:color="auto" w:fill="FFFFFF"/>
          <w:lang w:val="en-US" w:eastAsia="en-US"/>
        </w:rPr>
        <w:drawing>
          <wp:anchor distT="0" distB="0" distL="114300" distR="114300" simplePos="0" relativeHeight="251659264" behindDoc="1" locked="0" layoutInCell="1" allowOverlap="1" wp14:anchorId="25ED5C4B" wp14:editId="1DFA77B3">
            <wp:simplePos x="0" y="0"/>
            <wp:positionH relativeFrom="margin">
              <wp:align>left</wp:align>
            </wp:positionH>
            <wp:positionV relativeFrom="paragraph">
              <wp:posOffset>265097</wp:posOffset>
            </wp:positionV>
            <wp:extent cx="1638300" cy="615013"/>
            <wp:effectExtent l="0" t="0" r="0" b="0"/>
            <wp:wrapNone/>
            <wp:docPr id="11" name="Imagen 11" descr="D:\Descargas\WhatsApp Image 2024-04-08 at 4.08.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escargas\WhatsApp Image 2024-04-08 at 4.08.16 PM.jpe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5811" t="7332" r="5733" b="8908"/>
                    <a:stretch/>
                  </pic:blipFill>
                  <pic:spPr bwMode="auto">
                    <a:xfrm>
                      <a:off x="0" y="0"/>
                      <a:ext cx="1638300" cy="6150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0666" w:rsidRDefault="009A0666" w:rsidP="00EB7827">
      <w:pPr>
        <w:spacing w:line="360" w:lineRule="auto"/>
        <w:rPr>
          <w:rFonts w:ascii="Arial" w:eastAsia="Arial" w:hAnsi="Arial" w:cs="Arial"/>
        </w:rPr>
      </w:pPr>
    </w:p>
    <w:p w:rsidR="009A0666" w:rsidRDefault="009A0666" w:rsidP="009A0666">
      <w:pPr>
        <w:spacing w:after="0" w:line="360" w:lineRule="auto"/>
        <w:jc w:val="both"/>
        <w:rPr>
          <w:rFonts w:ascii="Arial" w:eastAsia="Arial" w:hAnsi="Arial" w:cs="Arial"/>
        </w:rPr>
      </w:pPr>
      <w:r>
        <w:rPr>
          <w:rFonts w:ascii="Arial" w:eastAsia="Arial" w:hAnsi="Arial" w:cs="Arial"/>
        </w:rPr>
        <w:t>________________________</w:t>
      </w:r>
    </w:p>
    <w:p w:rsidR="009A0666" w:rsidRDefault="009A0666" w:rsidP="009A0666">
      <w:pPr>
        <w:spacing w:after="0" w:line="360" w:lineRule="auto"/>
        <w:jc w:val="both"/>
        <w:rPr>
          <w:rFonts w:ascii="Arial" w:eastAsia="Arial" w:hAnsi="Arial" w:cs="Arial"/>
          <w:b/>
        </w:rPr>
      </w:pPr>
      <w:r>
        <w:rPr>
          <w:rFonts w:ascii="Arial" w:eastAsia="Arial" w:hAnsi="Arial" w:cs="Arial"/>
          <w:b/>
        </w:rPr>
        <w:t>Boris Rafael Piñeres Yanes</w:t>
      </w:r>
    </w:p>
    <w:p w:rsidR="009A0666" w:rsidRPr="00FB45D1" w:rsidRDefault="009A0666" w:rsidP="009A0666">
      <w:pPr>
        <w:spacing w:after="0" w:line="360" w:lineRule="auto"/>
        <w:jc w:val="both"/>
        <w:rPr>
          <w:rFonts w:ascii="Arial" w:eastAsia="Arial" w:hAnsi="Arial" w:cs="Arial"/>
          <w:b/>
        </w:rPr>
      </w:pPr>
      <w:r>
        <w:rPr>
          <w:rFonts w:ascii="Arial" w:eastAsia="Arial" w:hAnsi="Arial" w:cs="Arial"/>
          <w:b/>
        </w:rPr>
        <w:t>Rector</w:t>
      </w:r>
      <w:bookmarkStart w:id="0" w:name="_GoBack"/>
      <w:bookmarkEnd w:id="0"/>
    </w:p>
    <w:p w:rsidR="009A0666" w:rsidRDefault="009A0666" w:rsidP="001E6C83">
      <w:pPr>
        <w:jc w:val="both"/>
        <w:rPr>
          <w:rFonts w:ascii="Arial" w:eastAsia="Arial" w:hAnsi="Arial" w:cs="Arial"/>
        </w:rPr>
      </w:pPr>
    </w:p>
    <w:p w:rsidR="00B564C3" w:rsidRDefault="00B564C3" w:rsidP="001E6C83">
      <w:pPr>
        <w:jc w:val="both"/>
        <w:rPr>
          <w:rFonts w:ascii="Arial" w:eastAsia="Arial" w:hAnsi="Arial" w:cs="Arial"/>
        </w:rPr>
      </w:pPr>
    </w:p>
    <w:p w:rsidR="00B564C3" w:rsidRDefault="00B564C3" w:rsidP="001E6C83">
      <w:pPr>
        <w:jc w:val="both"/>
        <w:rPr>
          <w:rFonts w:ascii="Arial" w:eastAsia="Arial" w:hAnsi="Arial" w:cs="Arial"/>
        </w:rPr>
      </w:pPr>
    </w:p>
    <w:p w:rsidR="00B564C3" w:rsidRPr="00BB6C18" w:rsidRDefault="00B564C3" w:rsidP="001E6C83">
      <w:pPr>
        <w:jc w:val="both"/>
        <w:rPr>
          <w:rFonts w:ascii="Arial" w:eastAsia="Arial" w:hAnsi="Arial" w:cs="Arial"/>
          <w:b/>
        </w:rPr>
      </w:pPr>
    </w:p>
    <w:p w:rsidR="001E6C83" w:rsidRPr="001E6C83" w:rsidRDefault="001E6C83" w:rsidP="00B15F65">
      <w:pPr>
        <w:jc w:val="both"/>
        <w:rPr>
          <w:rFonts w:ascii="Arial" w:eastAsia="Arial" w:hAnsi="Arial" w:cs="Arial"/>
        </w:rPr>
      </w:pPr>
    </w:p>
    <w:p w:rsidR="00195CD7" w:rsidRPr="00195CD7" w:rsidRDefault="00195CD7" w:rsidP="00195CD7">
      <w:pPr>
        <w:jc w:val="both"/>
        <w:rPr>
          <w:rFonts w:ascii="Arial" w:eastAsia="Arial" w:hAnsi="Arial" w:cs="Arial"/>
          <w:bCs/>
        </w:rPr>
      </w:pPr>
    </w:p>
    <w:sectPr w:rsidR="00195CD7" w:rsidRPr="00195CD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D6" w:rsidRDefault="004C72D6">
      <w:pPr>
        <w:spacing w:after="0" w:line="240" w:lineRule="auto"/>
      </w:pPr>
      <w:r>
        <w:separator/>
      </w:r>
    </w:p>
  </w:endnote>
  <w:endnote w:type="continuationSeparator" w:id="0">
    <w:p w:rsidR="004C72D6" w:rsidRDefault="004C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D6" w:rsidRDefault="004C72D6">
      <w:pPr>
        <w:spacing w:after="0" w:line="240" w:lineRule="auto"/>
      </w:pPr>
      <w:r>
        <w:separator/>
      </w:r>
    </w:p>
  </w:footnote>
  <w:footnote w:type="continuationSeparator" w:id="0">
    <w:p w:rsidR="004C72D6" w:rsidRDefault="004C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621F"/>
    <w:multiLevelType w:val="hybridMultilevel"/>
    <w:tmpl w:val="D794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865E2"/>
    <w:rsid w:val="00132314"/>
    <w:rsid w:val="0016664D"/>
    <w:rsid w:val="00195CD7"/>
    <w:rsid w:val="001E6C83"/>
    <w:rsid w:val="001F7F1D"/>
    <w:rsid w:val="003403CF"/>
    <w:rsid w:val="00356918"/>
    <w:rsid w:val="003B00E3"/>
    <w:rsid w:val="003C66BA"/>
    <w:rsid w:val="003C75B6"/>
    <w:rsid w:val="004C587E"/>
    <w:rsid w:val="004C72D6"/>
    <w:rsid w:val="00541937"/>
    <w:rsid w:val="00691B04"/>
    <w:rsid w:val="006C743A"/>
    <w:rsid w:val="0075068B"/>
    <w:rsid w:val="00862E78"/>
    <w:rsid w:val="00883381"/>
    <w:rsid w:val="008F7415"/>
    <w:rsid w:val="009A0331"/>
    <w:rsid w:val="009A0666"/>
    <w:rsid w:val="00A166AC"/>
    <w:rsid w:val="00AD1931"/>
    <w:rsid w:val="00AD58F8"/>
    <w:rsid w:val="00B15F65"/>
    <w:rsid w:val="00B231D9"/>
    <w:rsid w:val="00B564C3"/>
    <w:rsid w:val="00BB6C18"/>
    <w:rsid w:val="00C47AD2"/>
    <w:rsid w:val="00CF06AB"/>
    <w:rsid w:val="00D429CF"/>
    <w:rsid w:val="00E81737"/>
    <w:rsid w:val="00EB7827"/>
    <w:rsid w:val="00F23AE0"/>
    <w:rsid w:val="00FB44FD"/>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E7805"/>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AD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1527</Words>
  <Characters>8704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dcterms:created xsi:type="dcterms:W3CDTF">2024-01-26T18:46:00Z</dcterms:created>
  <dcterms:modified xsi:type="dcterms:W3CDTF">2025-03-21T16:23:00Z</dcterms:modified>
</cp:coreProperties>
</file>